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7E84" w14:textId="21A460E5" w:rsidR="001956B6" w:rsidRDefault="009C5864" w:rsidP="001956B6">
      <w:pPr>
        <w:rPr>
          <w:rFonts w:cs="Arial"/>
          <w:b/>
          <w:sz w:val="22"/>
          <w:szCs w:val="22"/>
        </w:rPr>
      </w:pPr>
      <w:r>
        <w:rPr>
          <w:rFonts w:cs="Arial"/>
          <w:b/>
          <w:sz w:val="22"/>
          <w:szCs w:val="22"/>
        </w:rPr>
        <w:t>Appendix 4: Tenancy Management C</w:t>
      </w:r>
      <w:r w:rsidRPr="00795943">
        <w:rPr>
          <w:rFonts w:cs="Arial"/>
          <w:b/>
          <w:sz w:val="22"/>
          <w:szCs w:val="22"/>
        </w:rPr>
        <w:t>hallenges</w:t>
      </w:r>
    </w:p>
    <w:p w14:paraId="5EE96894" w14:textId="77777777" w:rsidR="009C5864" w:rsidRDefault="009C5864" w:rsidP="001956B6">
      <w:pPr>
        <w:rPr>
          <w:rFonts w:cs="Arial"/>
          <w:b/>
          <w:sz w:val="22"/>
          <w:szCs w:val="22"/>
        </w:rPr>
      </w:pPr>
    </w:p>
    <w:p w14:paraId="41398356" w14:textId="69E64DC5" w:rsidR="003A6352" w:rsidRPr="00795943" w:rsidRDefault="003553EA" w:rsidP="001956B6">
      <w:pPr>
        <w:rPr>
          <w:rFonts w:cs="Arial"/>
          <w:b/>
          <w:sz w:val="22"/>
          <w:szCs w:val="22"/>
        </w:rPr>
      </w:pPr>
      <w:r w:rsidRPr="00795943">
        <w:rPr>
          <w:rFonts w:cs="Arial"/>
          <w:b/>
          <w:sz w:val="22"/>
          <w:szCs w:val="22"/>
        </w:rPr>
        <w:t xml:space="preserve">Flexible Tenancies: </w:t>
      </w:r>
      <w:r w:rsidR="0046097F" w:rsidRPr="00795943">
        <w:rPr>
          <w:rFonts w:cs="Arial"/>
          <w:b/>
          <w:sz w:val="22"/>
          <w:szCs w:val="22"/>
        </w:rPr>
        <w:t>tenancy management challenges</w:t>
      </w:r>
    </w:p>
    <w:p w14:paraId="415D5695" w14:textId="34CF6740" w:rsidR="00AE1238" w:rsidRPr="00795943" w:rsidRDefault="00AE1238" w:rsidP="001248B5">
      <w:pPr>
        <w:rPr>
          <w:rFonts w:cs="Arial"/>
          <w:sz w:val="22"/>
          <w:szCs w:val="22"/>
          <w:shd w:val="clear" w:color="auto" w:fill="FAFAFA"/>
        </w:rPr>
      </w:pPr>
    </w:p>
    <w:p w14:paraId="13B8C2EB" w14:textId="3B5F2B1B" w:rsidR="00AE1238" w:rsidRPr="00795943" w:rsidRDefault="00AE1238" w:rsidP="001248B5">
      <w:pPr>
        <w:rPr>
          <w:rFonts w:cs="Arial"/>
          <w:sz w:val="22"/>
          <w:szCs w:val="22"/>
          <w:shd w:val="clear" w:color="auto" w:fill="FAFAFA"/>
        </w:rPr>
      </w:pPr>
      <w:r w:rsidRPr="00795943">
        <w:rPr>
          <w:rFonts w:cs="Arial"/>
          <w:sz w:val="22"/>
          <w:szCs w:val="22"/>
          <w:shd w:val="clear" w:color="auto" w:fill="FAFAFA"/>
        </w:rPr>
        <w:t xml:space="preserve">The </w:t>
      </w:r>
      <w:r w:rsidR="0046097F" w:rsidRPr="00795943">
        <w:rPr>
          <w:rFonts w:cs="Arial"/>
          <w:sz w:val="22"/>
          <w:szCs w:val="22"/>
          <w:shd w:val="clear" w:color="auto" w:fill="FAFAFA"/>
        </w:rPr>
        <w:t xml:space="preserve">tenancy management </w:t>
      </w:r>
      <w:r w:rsidRPr="00795943">
        <w:rPr>
          <w:rFonts w:cs="Arial"/>
          <w:sz w:val="22"/>
          <w:szCs w:val="22"/>
          <w:shd w:val="clear" w:color="auto" w:fill="FAFAFA"/>
        </w:rPr>
        <w:t xml:space="preserve">challenges </w:t>
      </w:r>
      <w:r w:rsidR="0046097F" w:rsidRPr="00795943">
        <w:rPr>
          <w:rFonts w:cs="Arial"/>
          <w:sz w:val="22"/>
          <w:szCs w:val="22"/>
          <w:shd w:val="clear" w:color="auto" w:fill="FAFAFA"/>
        </w:rPr>
        <w:t xml:space="preserve">when using flexible tenancies </w:t>
      </w:r>
      <w:r w:rsidRPr="00795943">
        <w:rPr>
          <w:rFonts w:cs="Arial"/>
          <w:sz w:val="22"/>
          <w:szCs w:val="22"/>
          <w:shd w:val="clear" w:color="auto" w:fill="FAFAFA"/>
        </w:rPr>
        <w:t>include:</w:t>
      </w:r>
    </w:p>
    <w:p w14:paraId="3A719DFC" w14:textId="77777777" w:rsidR="00D44E13" w:rsidRPr="00795943" w:rsidRDefault="00D44E13" w:rsidP="001248B5">
      <w:pPr>
        <w:rPr>
          <w:rFonts w:cs="Arial"/>
          <w:sz w:val="22"/>
          <w:szCs w:val="22"/>
          <w:shd w:val="clear" w:color="auto" w:fill="FAFAFA"/>
        </w:rPr>
      </w:pPr>
    </w:p>
    <w:p w14:paraId="782BAF43" w14:textId="36B67AB2" w:rsidR="00257BB2" w:rsidRPr="00795943" w:rsidRDefault="00257BB2" w:rsidP="0046097F">
      <w:pPr>
        <w:pStyle w:val="ListParagraph"/>
        <w:numPr>
          <w:ilvl w:val="0"/>
          <w:numId w:val="1"/>
        </w:numPr>
        <w:jc w:val="left"/>
        <w:rPr>
          <w:rFonts w:cs="Arial"/>
          <w:b/>
          <w:bCs/>
          <w:sz w:val="22"/>
          <w:szCs w:val="22"/>
        </w:rPr>
      </w:pPr>
      <w:r w:rsidRPr="00795943">
        <w:rPr>
          <w:rFonts w:cs="Arial"/>
          <w:b/>
          <w:bCs/>
          <w:sz w:val="22"/>
          <w:szCs w:val="22"/>
        </w:rPr>
        <w:t>Renewing flexible tenancies and rent arrears</w:t>
      </w:r>
    </w:p>
    <w:p w14:paraId="77802C4B" w14:textId="77777777" w:rsidR="0046097F" w:rsidRPr="00795943" w:rsidRDefault="0046097F" w:rsidP="001248B5">
      <w:pPr>
        <w:jc w:val="left"/>
        <w:rPr>
          <w:rFonts w:cs="Arial"/>
          <w:sz w:val="22"/>
          <w:szCs w:val="22"/>
        </w:rPr>
      </w:pPr>
    </w:p>
    <w:p w14:paraId="3EEFA124" w14:textId="21C306CE" w:rsidR="00257BB2" w:rsidRPr="00795943" w:rsidRDefault="00257BB2" w:rsidP="00A549AA">
      <w:pPr>
        <w:rPr>
          <w:rFonts w:cs="Arial"/>
          <w:sz w:val="22"/>
          <w:szCs w:val="22"/>
        </w:rPr>
      </w:pPr>
      <w:r w:rsidRPr="00795943">
        <w:rPr>
          <w:rFonts w:cs="Arial"/>
          <w:sz w:val="22"/>
          <w:szCs w:val="22"/>
        </w:rPr>
        <w:t xml:space="preserve">Where a tenant has accrued rent arrears and the court has awarded the </w:t>
      </w:r>
      <w:r w:rsidR="00BB47D0" w:rsidRPr="00795943">
        <w:rPr>
          <w:rFonts w:cs="Arial"/>
          <w:sz w:val="22"/>
          <w:szCs w:val="22"/>
        </w:rPr>
        <w:t>C</w:t>
      </w:r>
      <w:r w:rsidRPr="00795943">
        <w:rPr>
          <w:rFonts w:cs="Arial"/>
          <w:sz w:val="22"/>
          <w:szCs w:val="22"/>
        </w:rPr>
        <w:t xml:space="preserve">ouncil a </w:t>
      </w:r>
      <w:r w:rsidR="00D17620" w:rsidRPr="00795943">
        <w:rPr>
          <w:rFonts w:cs="Arial"/>
          <w:sz w:val="22"/>
          <w:szCs w:val="22"/>
        </w:rPr>
        <w:t>S</w:t>
      </w:r>
      <w:r w:rsidRPr="00795943">
        <w:rPr>
          <w:rFonts w:cs="Arial"/>
          <w:sz w:val="22"/>
          <w:szCs w:val="22"/>
        </w:rPr>
        <w:t xml:space="preserve">uspended </w:t>
      </w:r>
      <w:r w:rsidR="00D17620" w:rsidRPr="00795943">
        <w:rPr>
          <w:rFonts w:cs="Arial"/>
          <w:sz w:val="22"/>
          <w:szCs w:val="22"/>
        </w:rPr>
        <w:t>P</w:t>
      </w:r>
      <w:r w:rsidRPr="00795943">
        <w:rPr>
          <w:rFonts w:cs="Arial"/>
          <w:sz w:val="22"/>
          <w:szCs w:val="22"/>
        </w:rPr>
        <w:t xml:space="preserve">ossession </w:t>
      </w:r>
      <w:r w:rsidR="00D17620" w:rsidRPr="00795943">
        <w:rPr>
          <w:rFonts w:cs="Arial"/>
          <w:sz w:val="22"/>
          <w:szCs w:val="22"/>
        </w:rPr>
        <w:t>O</w:t>
      </w:r>
      <w:r w:rsidRPr="00795943">
        <w:rPr>
          <w:rFonts w:cs="Arial"/>
          <w:sz w:val="22"/>
          <w:szCs w:val="22"/>
        </w:rPr>
        <w:t xml:space="preserve">rder, it would be reasonable to renew the flexible tenancy where the tenant has complied with the court order. However, if the arrears have not been cleared at the end of the flexible tenancy, any court order is negated by the signing of a new tenancy and the rent arrears become former tenant arrears. </w:t>
      </w:r>
      <w:r w:rsidR="00E4337B" w:rsidRPr="00795943">
        <w:rPr>
          <w:rFonts w:cs="Arial"/>
          <w:sz w:val="22"/>
          <w:szCs w:val="22"/>
        </w:rPr>
        <w:t>The Council’s</w:t>
      </w:r>
      <w:r w:rsidRPr="00795943">
        <w:rPr>
          <w:rFonts w:cs="Arial"/>
          <w:sz w:val="22"/>
          <w:szCs w:val="22"/>
        </w:rPr>
        <w:t xml:space="preserve"> tenancy conditions allow</w:t>
      </w:r>
      <w:r w:rsidR="00B62B86" w:rsidRPr="00795943">
        <w:rPr>
          <w:rFonts w:cs="Arial"/>
          <w:sz w:val="22"/>
          <w:szCs w:val="22"/>
        </w:rPr>
        <w:t xml:space="preserve"> </w:t>
      </w:r>
      <w:r w:rsidRPr="00795943">
        <w:rPr>
          <w:rFonts w:cs="Arial"/>
          <w:sz w:val="22"/>
          <w:szCs w:val="22"/>
        </w:rPr>
        <w:t>these arrears to</w:t>
      </w:r>
      <w:r w:rsidR="00B62B86" w:rsidRPr="00795943">
        <w:rPr>
          <w:rFonts w:cs="Arial"/>
          <w:sz w:val="22"/>
          <w:szCs w:val="22"/>
        </w:rPr>
        <w:t xml:space="preserve"> be added to</w:t>
      </w:r>
      <w:r w:rsidRPr="00795943">
        <w:rPr>
          <w:rFonts w:cs="Arial"/>
          <w:sz w:val="22"/>
          <w:szCs w:val="22"/>
        </w:rPr>
        <w:t xml:space="preserve"> the tenant’s rent account, </w:t>
      </w:r>
      <w:r w:rsidR="00861677" w:rsidRPr="00795943">
        <w:rPr>
          <w:rFonts w:cs="Arial"/>
          <w:sz w:val="22"/>
          <w:szCs w:val="22"/>
        </w:rPr>
        <w:t xml:space="preserve">but </w:t>
      </w:r>
      <w:r w:rsidRPr="00795943">
        <w:rPr>
          <w:rFonts w:cs="Arial"/>
          <w:sz w:val="22"/>
          <w:szCs w:val="22"/>
        </w:rPr>
        <w:t>the court order</w:t>
      </w:r>
      <w:r w:rsidR="00B62B86" w:rsidRPr="00795943">
        <w:rPr>
          <w:rFonts w:cs="Arial"/>
          <w:sz w:val="22"/>
          <w:szCs w:val="22"/>
        </w:rPr>
        <w:t xml:space="preserve"> can no longer be relied </w:t>
      </w:r>
      <w:r w:rsidRPr="00795943">
        <w:rPr>
          <w:rFonts w:cs="Arial"/>
          <w:sz w:val="22"/>
          <w:szCs w:val="22"/>
        </w:rPr>
        <w:t>on to enforce payment.</w:t>
      </w:r>
      <w:r w:rsidR="00E4337B" w:rsidRPr="00795943">
        <w:rPr>
          <w:rFonts w:cs="Arial"/>
          <w:sz w:val="22"/>
          <w:szCs w:val="22"/>
        </w:rPr>
        <w:t xml:space="preserve"> </w:t>
      </w:r>
      <w:r w:rsidRPr="00795943">
        <w:rPr>
          <w:rFonts w:cs="Arial"/>
          <w:sz w:val="22"/>
          <w:szCs w:val="22"/>
        </w:rPr>
        <w:t>This matter is pertinent where a tenant is in receipt of state benefits</w:t>
      </w:r>
      <w:r w:rsidR="00B62B86" w:rsidRPr="00795943">
        <w:rPr>
          <w:rFonts w:cs="Arial"/>
          <w:sz w:val="22"/>
          <w:szCs w:val="22"/>
        </w:rPr>
        <w:t xml:space="preserve"> as t</w:t>
      </w:r>
      <w:r w:rsidRPr="00795943">
        <w:rPr>
          <w:rFonts w:cs="Arial"/>
          <w:sz w:val="22"/>
          <w:szCs w:val="22"/>
        </w:rPr>
        <w:t xml:space="preserve">here are limits set by the Department for Work &amp; Pensions </w:t>
      </w:r>
      <w:r w:rsidR="00B62B86" w:rsidRPr="00795943">
        <w:rPr>
          <w:rFonts w:cs="Arial"/>
          <w:sz w:val="22"/>
          <w:szCs w:val="22"/>
        </w:rPr>
        <w:t xml:space="preserve">on </w:t>
      </w:r>
      <w:r w:rsidRPr="00795943">
        <w:rPr>
          <w:rFonts w:cs="Arial"/>
          <w:sz w:val="22"/>
          <w:szCs w:val="22"/>
        </w:rPr>
        <w:t xml:space="preserve">the amount that can be deducted from benefits </w:t>
      </w:r>
      <w:r w:rsidR="009731AC" w:rsidRPr="00795943">
        <w:rPr>
          <w:rFonts w:cs="Arial"/>
          <w:sz w:val="22"/>
          <w:szCs w:val="22"/>
        </w:rPr>
        <w:t xml:space="preserve">to be </w:t>
      </w:r>
      <w:r w:rsidRPr="00795943">
        <w:rPr>
          <w:rFonts w:cs="Arial"/>
          <w:sz w:val="22"/>
          <w:szCs w:val="22"/>
        </w:rPr>
        <w:t xml:space="preserve">paid towards rent arrears; courts frequently set the </w:t>
      </w:r>
      <w:r w:rsidR="00F271E3" w:rsidRPr="00795943">
        <w:rPr>
          <w:rFonts w:cs="Arial"/>
          <w:sz w:val="22"/>
          <w:szCs w:val="22"/>
        </w:rPr>
        <w:t>Suspended Possession Order</w:t>
      </w:r>
      <w:r w:rsidRPr="00795943">
        <w:rPr>
          <w:rFonts w:cs="Arial"/>
          <w:sz w:val="22"/>
          <w:szCs w:val="22"/>
        </w:rPr>
        <w:t xml:space="preserve"> at that same level</w:t>
      </w:r>
      <w:r w:rsidR="00E759D2" w:rsidRPr="00795943">
        <w:rPr>
          <w:rFonts w:cs="Arial"/>
          <w:sz w:val="22"/>
          <w:szCs w:val="22"/>
        </w:rPr>
        <w:t xml:space="preserve"> (currently </w:t>
      </w:r>
      <w:r w:rsidR="00F424C1" w:rsidRPr="00795943">
        <w:rPr>
          <w:rFonts w:cs="Arial"/>
          <w:sz w:val="22"/>
          <w:szCs w:val="22"/>
        </w:rPr>
        <w:t>£81.89 a month for tenants receiving U</w:t>
      </w:r>
      <w:r w:rsidR="00EF697F" w:rsidRPr="00795943">
        <w:rPr>
          <w:rFonts w:cs="Arial"/>
          <w:sz w:val="22"/>
          <w:szCs w:val="22"/>
        </w:rPr>
        <w:t xml:space="preserve">niversal </w:t>
      </w:r>
      <w:r w:rsidR="00F424C1" w:rsidRPr="00795943">
        <w:rPr>
          <w:rFonts w:cs="Arial"/>
          <w:sz w:val="22"/>
          <w:szCs w:val="22"/>
        </w:rPr>
        <w:t>C</w:t>
      </w:r>
      <w:r w:rsidR="00EF697F" w:rsidRPr="00795943">
        <w:rPr>
          <w:rFonts w:cs="Arial"/>
          <w:sz w:val="22"/>
          <w:szCs w:val="22"/>
        </w:rPr>
        <w:t>redit</w:t>
      </w:r>
      <w:r w:rsidR="00F424C1" w:rsidRPr="00795943">
        <w:rPr>
          <w:rFonts w:cs="Arial"/>
          <w:sz w:val="22"/>
          <w:szCs w:val="22"/>
        </w:rPr>
        <w:t>)</w:t>
      </w:r>
      <w:r w:rsidRPr="00795943">
        <w:rPr>
          <w:rFonts w:cs="Arial"/>
          <w:sz w:val="22"/>
          <w:szCs w:val="22"/>
        </w:rPr>
        <w:t xml:space="preserve">.  It is not common practice for courts to set a </w:t>
      </w:r>
      <w:r w:rsidR="00477C34" w:rsidRPr="00795943">
        <w:rPr>
          <w:rFonts w:cs="Arial"/>
          <w:sz w:val="22"/>
          <w:szCs w:val="22"/>
        </w:rPr>
        <w:t>Suspended Possession Order</w:t>
      </w:r>
      <w:r w:rsidRPr="00795943">
        <w:rPr>
          <w:rFonts w:cs="Arial"/>
          <w:sz w:val="22"/>
          <w:szCs w:val="22"/>
        </w:rPr>
        <w:t xml:space="preserve"> at a </w:t>
      </w:r>
      <w:r w:rsidR="00EF697F" w:rsidRPr="00795943">
        <w:rPr>
          <w:rFonts w:cs="Arial"/>
          <w:sz w:val="22"/>
          <w:szCs w:val="22"/>
        </w:rPr>
        <w:t xml:space="preserve">higher </w:t>
      </w:r>
      <w:r w:rsidRPr="00795943">
        <w:rPr>
          <w:rFonts w:cs="Arial"/>
          <w:sz w:val="22"/>
          <w:szCs w:val="22"/>
        </w:rPr>
        <w:t>level that would clear</w:t>
      </w:r>
      <w:r w:rsidR="00EF697F" w:rsidRPr="00795943">
        <w:rPr>
          <w:rFonts w:cs="Arial"/>
          <w:sz w:val="22"/>
          <w:szCs w:val="22"/>
        </w:rPr>
        <w:t xml:space="preserve"> </w:t>
      </w:r>
      <w:r w:rsidR="00EE1C55" w:rsidRPr="00795943">
        <w:rPr>
          <w:rFonts w:cs="Arial"/>
          <w:sz w:val="22"/>
          <w:szCs w:val="22"/>
        </w:rPr>
        <w:t xml:space="preserve">rent </w:t>
      </w:r>
      <w:r w:rsidRPr="00795943">
        <w:rPr>
          <w:rFonts w:cs="Arial"/>
          <w:sz w:val="22"/>
          <w:szCs w:val="22"/>
        </w:rPr>
        <w:t xml:space="preserve">arrears by the end of the flexible tenancy period. </w:t>
      </w:r>
    </w:p>
    <w:p w14:paraId="3BFC78A8" w14:textId="77777777" w:rsidR="00257BB2" w:rsidRPr="00795943" w:rsidRDefault="00257BB2" w:rsidP="001248B5">
      <w:pPr>
        <w:jc w:val="left"/>
        <w:rPr>
          <w:rFonts w:cs="Arial"/>
          <w:sz w:val="22"/>
          <w:szCs w:val="22"/>
        </w:rPr>
      </w:pPr>
    </w:p>
    <w:p w14:paraId="4E5BA24D" w14:textId="39BD1E89" w:rsidR="00E30971" w:rsidRPr="00795943" w:rsidRDefault="00E55DDE" w:rsidP="0046097F">
      <w:pPr>
        <w:pStyle w:val="ListParagraph"/>
        <w:numPr>
          <w:ilvl w:val="0"/>
          <w:numId w:val="1"/>
        </w:numPr>
        <w:jc w:val="left"/>
        <w:rPr>
          <w:rFonts w:cs="Arial"/>
          <w:b/>
          <w:bCs/>
          <w:sz w:val="22"/>
          <w:szCs w:val="22"/>
        </w:rPr>
      </w:pPr>
      <w:r w:rsidRPr="00795943">
        <w:rPr>
          <w:rFonts w:cs="Arial"/>
          <w:b/>
          <w:bCs/>
          <w:sz w:val="22"/>
          <w:szCs w:val="22"/>
        </w:rPr>
        <w:t xml:space="preserve">Ending a flexible tenancy during </w:t>
      </w:r>
      <w:r w:rsidR="008C23E1" w:rsidRPr="00795943">
        <w:rPr>
          <w:rFonts w:cs="Arial"/>
          <w:b/>
          <w:bCs/>
          <w:sz w:val="22"/>
          <w:szCs w:val="22"/>
        </w:rPr>
        <w:t xml:space="preserve">the </w:t>
      </w:r>
      <w:r w:rsidRPr="00795943">
        <w:rPr>
          <w:rFonts w:cs="Arial"/>
          <w:b/>
          <w:bCs/>
          <w:sz w:val="22"/>
          <w:szCs w:val="22"/>
        </w:rPr>
        <w:t>life</w:t>
      </w:r>
      <w:r w:rsidR="008C23E1" w:rsidRPr="00795943">
        <w:rPr>
          <w:rFonts w:cs="Arial"/>
          <w:b/>
          <w:bCs/>
          <w:sz w:val="22"/>
          <w:szCs w:val="22"/>
        </w:rPr>
        <w:t xml:space="preserve"> of the tenancy</w:t>
      </w:r>
    </w:p>
    <w:p w14:paraId="516401C4" w14:textId="77777777" w:rsidR="0046097F" w:rsidRPr="00795943" w:rsidRDefault="0046097F" w:rsidP="001248B5">
      <w:pPr>
        <w:jc w:val="left"/>
        <w:rPr>
          <w:rFonts w:cs="Arial"/>
          <w:sz w:val="22"/>
          <w:szCs w:val="22"/>
        </w:rPr>
      </w:pPr>
    </w:p>
    <w:p w14:paraId="1E0F5B2F" w14:textId="375D701D" w:rsidR="00AD4AEC" w:rsidRPr="00795943" w:rsidRDefault="00E30971" w:rsidP="00A549AA">
      <w:pPr>
        <w:rPr>
          <w:rFonts w:cs="Arial"/>
          <w:sz w:val="22"/>
          <w:szCs w:val="22"/>
          <w:shd w:val="clear" w:color="auto" w:fill="FAFAFA"/>
        </w:rPr>
      </w:pPr>
      <w:r w:rsidRPr="00795943">
        <w:rPr>
          <w:rFonts w:cs="Arial"/>
          <w:sz w:val="22"/>
          <w:szCs w:val="22"/>
        </w:rPr>
        <w:t xml:space="preserve">One of the main </w:t>
      </w:r>
      <w:r w:rsidR="004F2432" w:rsidRPr="00795943">
        <w:rPr>
          <w:rFonts w:cs="Arial"/>
          <w:sz w:val="22"/>
          <w:szCs w:val="22"/>
        </w:rPr>
        <w:t xml:space="preserve">challenges </w:t>
      </w:r>
      <w:r w:rsidRPr="00795943">
        <w:rPr>
          <w:rFonts w:cs="Arial"/>
          <w:sz w:val="22"/>
          <w:szCs w:val="22"/>
        </w:rPr>
        <w:t xml:space="preserve">of taking possession proceedings during the life of </w:t>
      </w:r>
      <w:r w:rsidR="001128F6" w:rsidRPr="00795943">
        <w:rPr>
          <w:rFonts w:cs="Arial"/>
          <w:sz w:val="22"/>
          <w:szCs w:val="22"/>
        </w:rPr>
        <w:t xml:space="preserve">a </w:t>
      </w:r>
      <w:r w:rsidRPr="00795943">
        <w:rPr>
          <w:rFonts w:cs="Arial"/>
          <w:sz w:val="22"/>
          <w:szCs w:val="22"/>
        </w:rPr>
        <w:t xml:space="preserve">flexible tenancy is the requirement for </w:t>
      </w:r>
      <w:r w:rsidR="00990881" w:rsidRPr="00795943">
        <w:rPr>
          <w:rFonts w:cs="Arial"/>
          <w:sz w:val="22"/>
          <w:szCs w:val="22"/>
        </w:rPr>
        <w:t>the tenancy agreement to include a forfeiture clause</w:t>
      </w:r>
      <w:r w:rsidR="00627114" w:rsidRPr="00795943">
        <w:rPr>
          <w:rFonts w:cs="Arial"/>
          <w:sz w:val="22"/>
          <w:szCs w:val="22"/>
        </w:rPr>
        <w:t>,</w:t>
      </w:r>
      <w:r w:rsidR="006543B1" w:rsidRPr="00795943">
        <w:rPr>
          <w:rFonts w:cs="Arial"/>
          <w:sz w:val="22"/>
          <w:szCs w:val="22"/>
        </w:rPr>
        <w:t xml:space="preserve"> as this type of tenancy is treated in a similar way to a lease</w:t>
      </w:r>
      <w:r w:rsidR="00990881" w:rsidRPr="00795943">
        <w:rPr>
          <w:rFonts w:cs="Arial"/>
          <w:sz w:val="22"/>
          <w:szCs w:val="22"/>
        </w:rPr>
        <w:t xml:space="preserve">. </w:t>
      </w:r>
      <w:r w:rsidR="003329B4" w:rsidRPr="00795943">
        <w:rPr>
          <w:rFonts w:cs="Arial"/>
          <w:sz w:val="22"/>
          <w:szCs w:val="22"/>
        </w:rPr>
        <w:t xml:space="preserve">By the time the Housing &amp; Planning </w:t>
      </w:r>
      <w:r w:rsidR="00832DAA" w:rsidRPr="00795943">
        <w:rPr>
          <w:rFonts w:cs="Arial"/>
          <w:sz w:val="22"/>
          <w:szCs w:val="22"/>
        </w:rPr>
        <w:t>B</w:t>
      </w:r>
      <w:r w:rsidR="00D03737" w:rsidRPr="00795943">
        <w:rPr>
          <w:rFonts w:cs="Arial"/>
          <w:sz w:val="22"/>
          <w:szCs w:val="22"/>
        </w:rPr>
        <w:t>ill</w:t>
      </w:r>
      <w:r w:rsidR="003329B4" w:rsidRPr="00795943">
        <w:rPr>
          <w:rFonts w:cs="Arial"/>
          <w:sz w:val="22"/>
          <w:szCs w:val="22"/>
        </w:rPr>
        <w:t xml:space="preserve"> was </w:t>
      </w:r>
      <w:r w:rsidR="00D03737" w:rsidRPr="00795943">
        <w:rPr>
          <w:rFonts w:cs="Arial"/>
          <w:sz w:val="22"/>
          <w:szCs w:val="22"/>
        </w:rPr>
        <w:t>being debated in</w:t>
      </w:r>
      <w:r w:rsidR="003329B4" w:rsidRPr="00795943">
        <w:rPr>
          <w:rFonts w:cs="Arial"/>
          <w:sz w:val="22"/>
          <w:szCs w:val="22"/>
        </w:rPr>
        <w:t xml:space="preserve"> </w:t>
      </w:r>
      <w:r w:rsidR="00536AD9" w:rsidRPr="00795943">
        <w:rPr>
          <w:rFonts w:cs="Arial"/>
          <w:sz w:val="22"/>
          <w:szCs w:val="22"/>
        </w:rPr>
        <w:t>Parliament, i</w:t>
      </w:r>
      <w:r w:rsidR="00990881" w:rsidRPr="00795943">
        <w:rPr>
          <w:rFonts w:cs="Arial"/>
          <w:sz w:val="22"/>
          <w:szCs w:val="22"/>
        </w:rPr>
        <w:t xml:space="preserve">t was acknowledged </w:t>
      </w:r>
      <w:r w:rsidR="00536AD9" w:rsidRPr="00795943">
        <w:rPr>
          <w:rFonts w:cs="Arial"/>
          <w:sz w:val="22"/>
          <w:szCs w:val="22"/>
        </w:rPr>
        <w:t xml:space="preserve">that </w:t>
      </w:r>
      <w:r w:rsidR="00D03737" w:rsidRPr="00795943">
        <w:rPr>
          <w:rFonts w:cs="Arial"/>
          <w:sz w:val="22"/>
          <w:szCs w:val="22"/>
        </w:rPr>
        <w:t>a</w:t>
      </w:r>
      <w:r w:rsidR="00536AD9" w:rsidRPr="00795943">
        <w:rPr>
          <w:rFonts w:cs="Arial"/>
          <w:sz w:val="22"/>
          <w:szCs w:val="22"/>
        </w:rPr>
        <w:t xml:space="preserve"> problem over forfeiture existed and a section was </w:t>
      </w:r>
      <w:r w:rsidR="00990881" w:rsidRPr="00795943">
        <w:rPr>
          <w:rFonts w:cs="Arial"/>
          <w:sz w:val="22"/>
          <w:szCs w:val="22"/>
        </w:rPr>
        <w:t xml:space="preserve">proposed </w:t>
      </w:r>
      <w:r w:rsidR="00536AD9" w:rsidRPr="00795943">
        <w:rPr>
          <w:rFonts w:cs="Arial"/>
          <w:sz w:val="22"/>
          <w:szCs w:val="22"/>
        </w:rPr>
        <w:t>that</w:t>
      </w:r>
      <w:r w:rsidR="00B72876" w:rsidRPr="00795943">
        <w:rPr>
          <w:rFonts w:cs="Arial"/>
          <w:sz w:val="22"/>
          <w:szCs w:val="22"/>
        </w:rPr>
        <w:t xml:space="preserve"> </w:t>
      </w:r>
      <w:r w:rsidR="002760E5" w:rsidRPr="00795943">
        <w:rPr>
          <w:rFonts w:cs="Arial"/>
          <w:sz w:val="22"/>
          <w:szCs w:val="22"/>
        </w:rPr>
        <w:t>‘</w:t>
      </w:r>
      <w:r w:rsidR="00B72876" w:rsidRPr="00795943">
        <w:rPr>
          <w:rFonts w:cs="Arial"/>
          <w:sz w:val="22"/>
          <w:szCs w:val="22"/>
          <w:shd w:val="clear" w:color="auto" w:fill="FAFAFA"/>
        </w:rPr>
        <w:t>would ensure local authorities may terminate new fixed-term secure tenancies on the statutory fault grounds without the need to take action to forfeit</w:t>
      </w:r>
      <w:r w:rsidR="002760E5" w:rsidRPr="00795943">
        <w:rPr>
          <w:rFonts w:cs="Arial"/>
          <w:sz w:val="22"/>
          <w:szCs w:val="22"/>
          <w:shd w:val="clear" w:color="auto" w:fill="FAFAFA"/>
        </w:rPr>
        <w:t>’</w:t>
      </w:r>
      <w:r w:rsidR="00B72876" w:rsidRPr="00795943">
        <w:rPr>
          <w:rFonts w:cs="Arial"/>
          <w:sz w:val="22"/>
          <w:szCs w:val="22"/>
          <w:shd w:val="clear" w:color="auto" w:fill="FAFAFA"/>
        </w:rPr>
        <w:t>.</w:t>
      </w:r>
      <w:r w:rsidR="007E234B" w:rsidRPr="00795943">
        <w:rPr>
          <w:rFonts w:cs="Arial"/>
          <w:sz w:val="22"/>
          <w:szCs w:val="22"/>
          <w:shd w:val="clear" w:color="auto" w:fill="FAFAFA"/>
        </w:rPr>
        <w:t xml:space="preserve"> </w:t>
      </w:r>
      <w:r w:rsidR="00D03737" w:rsidRPr="00795943">
        <w:rPr>
          <w:rFonts w:cs="Arial"/>
          <w:sz w:val="22"/>
          <w:szCs w:val="22"/>
          <w:shd w:val="clear" w:color="auto" w:fill="FAFAFA"/>
        </w:rPr>
        <w:t>Although enacted, t</w:t>
      </w:r>
      <w:r w:rsidR="00536AD9" w:rsidRPr="00795943">
        <w:rPr>
          <w:rFonts w:cs="Arial"/>
          <w:sz w:val="22"/>
          <w:szCs w:val="22"/>
          <w:shd w:val="clear" w:color="auto" w:fill="FAFAFA"/>
        </w:rPr>
        <w:t xml:space="preserve">his </w:t>
      </w:r>
      <w:r w:rsidR="00BB5D22" w:rsidRPr="00795943">
        <w:rPr>
          <w:rFonts w:cs="Arial"/>
          <w:sz w:val="22"/>
          <w:szCs w:val="22"/>
          <w:shd w:val="clear" w:color="auto" w:fill="FAFAFA"/>
        </w:rPr>
        <w:t xml:space="preserve">section </w:t>
      </w:r>
      <w:r w:rsidR="003A5652" w:rsidRPr="00795943">
        <w:rPr>
          <w:rFonts w:cs="Arial"/>
          <w:sz w:val="22"/>
          <w:szCs w:val="22"/>
          <w:shd w:val="clear" w:color="auto" w:fill="FAFAFA"/>
        </w:rPr>
        <w:t xml:space="preserve">in the </w:t>
      </w:r>
      <w:r w:rsidR="003B2157" w:rsidRPr="00795943">
        <w:rPr>
          <w:rFonts w:cs="Arial"/>
          <w:sz w:val="22"/>
          <w:szCs w:val="22"/>
          <w:shd w:val="clear" w:color="auto" w:fill="FAFAFA"/>
        </w:rPr>
        <w:t xml:space="preserve">Housing &amp; Planning </w:t>
      </w:r>
      <w:r w:rsidR="003A5652" w:rsidRPr="00795943">
        <w:rPr>
          <w:rFonts w:cs="Arial"/>
          <w:sz w:val="22"/>
          <w:szCs w:val="22"/>
          <w:shd w:val="clear" w:color="auto" w:fill="FAFAFA"/>
        </w:rPr>
        <w:t xml:space="preserve">Act </w:t>
      </w:r>
      <w:r w:rsidR="003B2157" w:rsidRPr="00795943">
        <w:rPr>
          <w:rFonts w:cs="Arial"/>
          <w:sz w:val="22"/>
          <w:szCs w:val="22"/>
          <w:shd w:val="clear" w:color="auto" w:fill="FAFAFA"/>
        </w:rPr>
        <w:t xml:space="preserve">2016 </w:t>
      </w:r>
      <w:r w:rsidR="00BB5D22" w:rsidRPr="00795943">
        <w:rPr>
          <w:rFonts w:cs="Arial"/>
          <w:sz w:val="22"/>
          <w:szCs w:val="22"/>
          <w:shd w:val="clear" w:color="auto" w:fill="FAFAFA"/>
        </w:rPr>
        <w:t xml:space="preserve">has not been implemented </w:t>
      </w:r>
      <w:r w:rsidR="00F52F84" w:rsidRPr="00795943">
        <w:rPr>
          <w:rFonts w:cs="Arial"/>
          <w:sz w:val="22"/>
          <w:szCs w:val="22"/>
          <w:shd w:val="clear" w:color="auto" w:fill="FAFAFA"/>
        </w:rPr>
        <w:t>and no date for implementation is known.</w:t>
      </w:r>
      <w:r w:rsidR="00620E7D" w:rsidRPr="00795943">
        <w:rPr>
          <w:rFonts w:cs="Arial"/>
          <w:sz w:val="22"/>
          <w:szCs w:val="22"/>
          <w:shd w:val="clear" w:color="auto" w:fill="FAFAFA"/>
        </w:rPr>
        <w:t xml:space="preserve"> </w:t>
      </w:r>
      <w:r w:rsidR="00AD4AEC" w:rsidRPr="00795943">
        <w:rPr>
          <w:rFonts w:cs="Arial"/>
          <w:sz w:val="22"/>
          <w:szCs w:val="22"/>
          <w:shd w:val="clear" w:color="auto" w:fill="FAFAFA"/>
        </w:rPr>
        <w:t>To date there has been one court case on this matter</w:t>
      </w:r>
      <w:r w:rsidR="00F52F84" w:rsidRPr="00795943">
        <w:rPr>
          <w:rFonts w:cs="Arial"/>
          <w:sz w:val="22"/>
          <w:szCs w:val="22"/>
          <w:shd w:val="clear" w:color="auto" w:fill="FAFAFA"/>
        </w:rPr>
        <w:t xml:space="preserve"> where</w:t>
      </w:r>
      <w:r w:rsidR="00AD4AEC" w:rsidRPr="00795943">
        <w:rPr>
          <w:rFonts w:cs="Arial"/>
          <w:sz w:val="22"/>
          <w:szCs w:val="22"/>
          <w:shd w:val="clear" w:color="auto" w:fill="FAFAFA"/>
        </w:rPr>
        <w:t xml:space="preserve"> Croydon Council was not awarded </w:t>
      </w:r>
      <w:r w:rsidR="00BE67F6" w:rsidRPr="00795943">
        <w:rPr>
          <w:rFonts w:cs="Arial"/>
          <w:sz w:val="22"/>
          <w:szCs w:val="22"/>
          <w:shd w:val="clear" w:color="auto" w:fill="FAFAFA"/>
        </w:rPr>
        <w:t xml:space="preserve">a </w:t>
      </w:r>
      <w:r w:rsidR="00AD4AEC" w:rsidRPr="00795943">
        <w:rPr>
          <w:rFonts w:cs="Arial"/>
          <w:sz w:val="22"/>
          <w:szCs w:val="22"/>
          <w:shd w:val="clear" w:color="auto" w:fill="FAFAFA"/>
        </w:rPr>
        <w:t>possession</w:t>
      </w:r>
      <w:r w:rsidR="00BE67F6" w:rsidRPr="00795943">
        <w:rPr>
          <w:rFonts w:cs="Arial"/>
          <w:sz w:val="22"/>
          <w:szCs w:val="22"/>
          <w:shd w:val="clear" w:color="auto" w:fill="FAFAFA"/>
        </w:rPr>
        <w:t xml:space="preserve"> order as </w:t>
      </w:r>
      <w:r w:rsidR="00BD0562" w:rsidRPr="00795943">
        <w:rPr>
          <w:rFonts w:cs="Arial"/>
          <w:sz w:val="22"/>
          <w:szCs w:val="22"/>
          <w:shd w:val="clear" w:color="auto" w:fill="FAFAFA"/>
        </w:rPr>
        <w:t xml:space="preserve">the court found that their </w:t>
      </w:r>
      <w:r w:rsidR="00D54E3E" w:rsidRPr="00795943">
        <w:rPr>
          <w:rFonts w:cs="Arial"/>
          <w:sz w:val="22"/>
          <w:szCs w:val="22"/>
          <w:shd w:val="clear" w:color="auto" w:fill="FAFAFA"/>
        </w:rPr>
        <w:t>t</w:t>
      </w:r>
      <w:r w:rsidR="00BD0562" w:rsidRPr="00795943">
        <w:rPr>
          <w:rFonts w:cs="Arial"/>
          <w:sz w:val="22"/>
          <w:szCs w:val="22"/>
          <w:shd w:val="clear" w:color="auto" w:fill="FAFAFA"/>
        </w:rPr>
        <w:t xml:space="preserve">enancy </w:t>
      </w:r>
      <w:r w:rsidR="00D54E3E" w:rsidRPr="00795943">
        <w:rPr>
          <w:rFonts w:cs="Arial"/>
          <w:sz w:val="22"/>
          <w:szCs w:val="22"/>
          <w:shd w:val="clear" w:color="auto" w:fill="FAFAFA"/>
        </w:rPr>
        <w:t>c</w:t>
      </w:r>
      <w:r w:rsidR="00BD0562" w:rsidRPr="00795943">
        <w:rPr>
          <w:rFonts w:cs="Arial"/>
          <w:sz w:val="22"/>
          <w:szCs w:val="22"/>
          <w:shd w:val="clear" w:color="auto" w:fill="FAFAFA"/>
        </w:rPr>
        <w:t>onditions did not have a forfeiture clause. Harrow Council</w:t>
      </w:r>
      <w:r w:rsidR="002B1BEE" w:rsidRPr="00795943">
        <w:rPr>
          <w:rFonts w:cs="Arial"/>
          <w:sz w:val="22"/>
          <w:szCs w:val="22"/>
          <w:shd w:val="clear" w:color="auto" w:fill="FAFAFA"/>
        </w:rPr>
        <w:t>’s t</w:t>
      </w:r>
      <w:r w:rsidR="000C39FF" w:rsidRPr="00795943">
        <w:rPr>
          <w:rFonts w:cs="Arial"/>
          <w:sz w:val="22"/>
          <w:szCs w:val="22"/>
          <w:shd w:val="clear" w:color="auto" w:fill="FAFAFA"/>
        </w:rPr>
        <w:t xml:space="preserve">enancy </w:t>
      </w:r>
      <w:r w:rsidR="004D07B6" w:rsidRPr="00795943">
        <w:rPr>
          <w:rFonts w:cs="Arial"/>
          <w:sz w:val="22"/>
          <w:szCs w:val="22"/>
          <w:shd w:val="clear" w:color="auto" w:fill="FAFAFA"/>
        </w:rPr>
        <w:t>c</w:t>
      </w:r>
      <w:r w:rsidR="000C39FF" w:rsidRPr="00795943">
        <w:rPr>
          <w:rFonts w:cs="Arial"/>
          <w:sz w:val="22"/>
          <w:szCs w:val="22"/>
          <w:shd w:val="clear" w:color="auto" w:fill="FAFAFA"/>
        </w:rPr>
        <w:t>onditions do contain a forfeiture clause – whether it would be considered sufficient would be a matter for the courts to decide.</w:t>
      </w:r>
      <w:r w:rsidR="00AC5DE7" w:rsidRPr="00795943">
        <w:rPr>
          <w:rFonts w:cs="Arial"/>
          <w:sz w:val="22"/>
          <w:szCs w:val="22"/>
          <w:shd w:val="clear" w:color="auto" w:fill="FAFAFA"/>
        </w:rPr>
        <w:t xml:space="preserve">  </w:t>
      </w:r>
    </w:p>
    <w:p w14:paraId="1F34647C" w14:textId="0F46200A" w:rsidR="00E30971" w:rsidRPr="00795943" w:rsidRDefault="00E30971" w:rsidP="001248B5">
      <w:pPr>
        <w:jc w:val="left"/>
        <w:rPr>
          <w:rFonts w:cs="Arial"/>
          <w:sz w:val="22"/>
          <w:szCs w:val="22"/>
        </w:rPr>
      </w:pPr>
    </w:p>
    <w:p w14:paraId="17FE11FB" w14:textId="60784914" w:rsidR="00EE4553" w:rsidRPr="00795943" w:rsidRDefault="00EC7C5E" w:rsidP="0046097F">
      <w:pPr>
        <w:pStyle w:val="ListParagraph"/>
        <w:numPr>
          <w:ilvl w:val="0"/>
          <w:numId w:val="1"/>
        </w:numPr>
        <w:jc w:val="left"/>
        <w:rPr>
          <w:rFonts w:cs="Arial"/>
          <w:b/>
          <w:bCs/>
          <w:sz w:val="22"/>
          <w:szCs w:val="22"/>
          <w:shd w:val="clear" w:color="auto" w:fill="FAFAFA"/>
        </w:rPr>
      </w:pPr>
      <w:r w:rsidRPr="00795943">
        <w:rPr>
          <w:rFonts w:cs="Arial"/>
          <w:b/>
          <w:bCs/>
          <w:sz w:val="22"/>
          <w:szCs w:val="22"/>
          <w:shd w:val="clear" w:color="auto" w:fill="FAFAFA"/>
        </w:rPr>
        <w:t>Expiry of flexible tenancy</w:t>
      </w:r>
    </w:p>
    <w:p w14:paraId="3A7E85C3" w14:textId="77777777" w:rsidR="0046097F" w:rsidRPr="00795943" w:rsidRDefault="0046097F" w:rsidP="001248B5">
      <w:pPr>
        <w:jc w:val="left"/>
        <w:rPr>
          <w:rFonts w:cs="Arial"/>
          <w:sz w:val="22"/>
          <w:szCs w:val="22"/>
          <w:shd w:val="clear" w:color="auto" w:fill="FAFAFA"/>
        </w:rPr>
      </w:pPr>
    </w:p>
    <w:p w14:paraId="5DDA35A8" w14:textId="23BEAA3C" w:rsidR="00FD595F" w:rsidRPr="00795943" w:rsidRDefault="00EE4553" w:rsidP="00A549AA">
      <w:pPr>
        <w:rPr>
          <w:rFonts w:cs="Arial"/>
          <w:sz w:val="22"/>
          <w:szCs w:val="22"/>
          <w:shd w:val="clear" w:color="auto" w:fill="FAFAFA"/>
        </w:rPr>
      </w:pPr>
      <w:r w:rsidRPr="00795943">
        <w:rPr>
          <w:rFonts w:cs="Arial"/>
          <w:sz w:val="22"/>
          <w:szCs w:val="22"/>
          <w:shd w:val="clear" w:color="auto" w:fill="FAFAFA"/>
        </w:rPr>
        <w:t xml:space="preserve">Currently, where </w:t>
      </w:r>
      <w:r w:rsidR="004A1F62" w:rsidRPr="00795943">
        <w:rPr>
          <w:rFonts w:cs="Arial"/>
          <w:sz w:val="22"/>
          <w:szCs w:val="22"/>
          <w:shd w:val="clear" w:color="auto" w:fill="FAFAFA"/>
        </w:rPr>
        <w:t xml:space="preserve">social </w:t>
      </w:r>
      <w:r w:rsidRPr="00795943">
        <w:rPr>
          <w:rFonts w:cs="Arial"/>
          <w:sz w:val="22"/>
          <w:szCs w:val="22"/>
          <w:shd w:val="clear" w:color="auto" w:fill="FAFAFA"/>
        </w:rPr>
        <w:t>landlords grant flexible tenancies, the tenancy will automatically become a lifetime tenancy at the end of the fixed term unless the landlord grants a new tenancy or</w:t>
      </w:r>
      <w:r w:rsidR="00D81DD0" w:rsidRPr="00795943">
        <w:rPr>
          <w:rFonts w:cs="Arial"/>
          <w:sz w:val="22"/>
          <w:szCs w:val="22"/>
          <w:shd w:val="clear" w:color="auto" w:fill="FAFAFA"/>
        </w:rPr>
        <w:t xml:space="preserve"> is in the process of</w:t>
      </w:r>
      <w:r w:rsidRPr="00795943">
        <w:rPr>
          <w:rFonts w:cs="Arial"/>
          <w:sz w:val="22"/>
          <w:szCs w:val="22"/>
          <w:shd w:val="clear" w:color="auto" w:fill="FAFAFA"/>
        </w:rPr>
        <w:t xml:space="preserve"> obtain</w:t>
      </w:r>
      <w:r w:rsidR="00D81DD0" w:rsidRPr="00795943">
        <w:rPr>
          <w:rFonts w:cs="Arial"/>
          <w:sz w:val="22"/>
          <w:szCs w:val="22"/>
          <w:shd w:val="clear" w:color="auto" w:fill="FAFAFA"/>
        </w:rPr>
        <w:t>ing</w:t>
      </w:r>
      <w:r w:rsidRPr="00795943">
        <w:rPr>
          <w:rFonts w:cs="Arial"/>
          <w:sz w:val="22"/>
          <w:szCs w:val="22"/>
          <w:shd w:val="clear" w:color="auto" w:fill="FAFAFA"/>
        </w:rPr>
        <w:t xml:space="preserve"> possession</w:t>
      </w:r>
      <w:r w:rsidR="00D81DD0" w:rsidRPr="00795943">
        <w:rPr>
          <w:rFonts w:cs="Arial"/>
          <w:sz w:val="22"/>
          <w:szCs w:val="22"/>
          <w:shd w:val="clear" w:color="auto" w:fill="FAFAFA"/>
        </w:rPr>
        <w:t xml:space="preserve"> through the courts</w:t>
      </w:r>
      <w:r w:rsidRPr="00795943">
        <w:rPr>
          <w:rFonts w:cs="Arial"/>
          <w:sz w:val="22"/>
          <w:szCs w:val="22"/>
          <w:shd w:val="clear" w:color="auto" w:fill="FAFAFA"/>
        </w:rPr>
        <w:t xml:space="preserve">. </w:t>
      </w:r>
      <w:r w:rsidR="00E4222E" w:rsidRPr="00795943">
        <w:rPr>
          <w:rFonts w:cs="Arial"/>
          <w:sz w:val="22"/>
          <w:szCs w:val="22"/>
          <w:shd w:val="clear" w:color="auto" w:fill="FAFAFA"/>
        </w:rPr>
        <w:t>Where the landlord does not propose to offer a new tenancy</w:t>
      </w:r>
      <w:r w:rsidR="00BF050F" w:rsidRPr="00795943">
        <w:rPr>
          <w:rFonts w:cs="Arial"/>
          <w:sz w:val="22"/>
          <w:szCs w:val="22"/>
          <w:shd w:val="clear" w:color="auto" w:fill="FAFAFA"/>
        </w:rPr>
        <w:t xml:space="preserve"> at the end of the flexible tenancy, </w:t>
      </w:r>
      <w:r w:rsidR="00F6314C" w:rsidRPr="00795943">
        <w:rPr>
          <w:rFonts w:cs="Arial"/>
          <w:sz w:val="22"/>
          <w:szCs w:val="22"/>
          <w:shd w:val="clear" w:color="auto" w:fill="FAFAFA"/>
        </w:rPr>
        <w:t xml:space="preserve">the landlord is </w:t>
      </w:r>
      <w:r w:rsidR="00BF050F" w:rsidRPr="00795943">
        <w:rPr>
          <w:rFonts w:cs="Arial"/>
          <w:sz w:val="22"/>
          <w:szCs w:val="22"/>
          <w:shd w:val="clear" w:color="auto" w:fill="FAFAFA"/>
        </w:rPr>
        <w:t>obliged to serve 2 separate notices, the first giving 6 months</w:t>
      </w:r>
      <w:r w:rsidR="009442B0" w:rsidRPr="00795943">
        <w:rPr>
          <w:rFonts w:cs="Arial"/>
          <w:sz w:val="22"/>
          <w:szCs w:val="22"/>
          <w:shd w:val="clear" w:color="auto" w:fill="FAFAFA"/>
        </w:rPr>
        <w:t>’</w:t>
      </w:r>
      <w:r w:rsidR="00BF050F" w:rsidRPr="00795943">
        <w:rPr>
          <w:rFonts w:cs="Arial"/>
          <w:sz w:val="22"/>
          <w:szCs w:val="22"/>
          <w:shd w:val="clear" w:color="auto" w:fill="FAFAFA"/>
        </w:rPr>
        <w:t xml:space="preserve"> notice of </w:t>
      </w:r>
      <w:r w:rsidR="004C090D" w:rsidRPr="00795943">
        <w:rPr>
          <w:rFonts w:cs="Arial"/>
          <w:sz w:val="22"/>
          <w:szCs w:val="22"/>
          <w:shd w:val="clear" w:color="auto" w:fill="FAFAFA"/>
        </w:rPr>
        <w:t>their</w:t>
      </w:r>
      <w:r w:rsidR="00BF050F" w:rsidRPr="00795943">
        <w:rPr>
          <w:rFonts w:cs="Arial"/>
          <w:sz w:val="22"/>
          <w:szCs w:val="22"/>
          <w:shd w:val="clear" w:color="auto" w:fill="FAFAFA"/>
        </w:rPr>
        <w:t xml:space="preserve"> intention not to award a new tenancy and a second notice giving 2 months</w:t>
      </w:r>
      <w:r w:rsidR="009442B0" w:rsidRPr="00795943">
        <w:rPr>
          <w:rFonts w:cs="Arial"/>
          <w:sz w:val="22"/>
          <w:szCs w:val="22"/>
          <w:shd w:val="clear" w:color="auto" w:fill="FAFAFA"/>
        </w:rPr>
        <w:t>’</w:t>
      </w:r>
      <w:r w:rsidR="00BF050F" w:rsidRPr="00795943">
        <w:rPr>
          <w:rFonts w:cs="Arial"/>
          <w:sz w:val="22"/>
          <w:szCs w:val="22"/>
          <w:shd w:val="clear" w:color="auto" w:fill="FAFAFA"/>
        </w:rPr>
        <w:t xml:space="preserve"> notice that </w:t>
      </w:r>
      <w:r w:rsidR="00A3208B" w:rsidRPr="00795943">
        <w:rPr>
          <w:rFonts w:cs="Arial"/>
          <w:sz w:val="22"/>
          <w:szCs w:val="22"/>
          <w:shd w:val="clear" w:color="auto" w:fill="FAFAFA"/>
        </w:rPr>
        <w:t>the landlord</w:t>
      </w:r>
      <w:r w:rsidR="00BF050F" w:rsidRPr="00795943">
        <w:rPr>
          <w:rFonts w:cs="Arial"/>
          <w:sz w:val="22"/>
          <w:szCs w:val="22"/>
          <w:shd w:val="clear" w:color="auto" w:fill="FAFAFA"/>
        </w:rPr>
        <w:t xml:space="preserve"> require</w:t>
      </w:r>
      <w:r w:rsidR="00A3208B" w:rsidRPr="00795943">
        <w:rPr>
          <w:rFonts w:cs="Arial"/>
          <w:sz w:val="22"/>
          <w:szCs w:val="22"/>
          <w:shd w:val="clear" w:color="auto" w:fill="FAFAFA"/>
        </w:rPr>
        <w:t>s</w:t>
      </w:r>
      <w:r w:rsidR="00BF050F" w:rsidRPr="00795943">
        <w:rPr>
          <w:rFonts w:cs="Arial"/>
          <w:sz w:val="22"/>
          <w:szCs w:val="22"/>
          <w:shd w:val="clear" w:color="auto" w:fill="FAFAFA"/>
        </w:rPr>
        <w:t xml:space="preserve"> possession of the property.  </w:t>
      </w:r>
    </w:p>
    <w:p w14:paraId="7BDF72EB" w14:textId="4648AADD" w:rsidR="009442B0" w:rsidRPr="00795943" w:rsidRDefault="009442B0" w:rsidP="00A549AA">
      <w:pPr>
        <w:rPr>
          <w:rFonts w:cs="Arial"/>
          <w:sz w:val="22"/>
          <w:szCs w:val="22"/>
          <w:shd w:val="clear" w:color="auto" w:fill="FAFAFA"/>
        </w:rPr>
      </w:pPr>
    </w:p>
    <w:p w14:paraId="6CCFC61C" w14:textId="67E6A9F2" w:rsidR="009442B0" w:rsidRPr="00795943" w:rsidRDefault="009442B0" w:rsidP="00A549AA">
      <w:pPr>
        <w:rPr>
          <w:rFonts w:cs="Arial"/>
          <w:sz w:val="22"/>
          <w:szCs w:val="22"/>
          <w:shd w:val="clear" w:color="auto" w:fill="FAFAFA"/>
        </w:rPr>
      </w:pPr>
      <w:r w:rsidRPr="00795943">
        <w:rPr>
          <w:rFonts w:cs="Arial"/>
          <w:sz w:val="22"/>
          <w:szCs w:val="22"/>
          <w:shd w:val="clear" w:color="auto" w:fill="FAFAFA"/>
        </w:rPr>
        <w:t xml:space="preserve">In practice where </w:t>
      </w:r>
      <w:r w:rsidR="00AE7B9D" w:rsidRPr="00795943">
        <w:rPr>
          <w:rFonts w:cs="Arial"/>
          <w:sz w:val="22"/>
          <w:szCs w:val="22"/>
          <w:shd w:val="clear" w:color="auto" w:fill="FAFAFA"/>
        </w:rPr>
        <w:t>there may be every intention to award a new flexible tenancy at the end of the existing one</w:t>
      </w:r>
      <w:r w:rsidR="00E0610B" w:rsidRPr="00795943">
        <w:rPr>
          <w:rFonts w:cs="Arial"/>
          <w:sz w:val="22"/>
          <w:szCs w:val="22"/>
          <w:shd w:val="clear" w:color="auto" w:fill="FAFAFA"/>
        </w:rPr>
        <w:t>, it can be possible to miss the deadline for signing the new tenancy and by default the tenant become</w:t>
      </w:r>
      <w:r w:rsidR="00A3208B" w:rsidRPr="00795943">
        <w:rPr>
          <w:rFonts w:cs="Arial"/>
          <w:sz w:val="22"/>
          <w:szCs w:val="22"/>
          <w:shd w:val="clear" w:color="auto" w:fill="FAFAFA"/>
        </w:rPr>
        <w:t>s</w:t>
      </w:r>
      <w:r w:rsidR="00E0610B" w:rsidRPr="00795943">
        <w:rPr>
          <w:rFonts w:cs="Arial"/>
          <w:sz w:val="22"/>
          <w:szCs w:val="22"/>
          <w:shd w:val="clear" w:color="auto" w:fill="FAFAFA"/>
        </w:rPr>
        <w:t xml:space="preserve"> a lifetime tenant. </w:t>
      </w:r>
      <w:r w:rsidR="00A3208B" w:rsidRPr="00795943">
        <w:rPr>
          <w:rFonts w:cs="Arial"/>
          <w:sz w:val="22"/>
          <w:szCs w:val="22"/>
          <w:shd w:val="clear" w:color="auto" w:fill="FAFAFA"/>
        </w:rPr>
        <w:t>For example th</w:t>
      </w:r>
      <w:r w:rsidR="00E0610B" w:rsidRPr="00795943">
        <w:rPr>
          <w:rFonts w:cs="Arial"/>
          <w:sz w:val="22"/>
          <w:szCs w:val="22"/>
          <w:shd w:val="clear" w:color="auto" w:fill="FAFAFA"/>
        </w:rPr>
        <w:t>is c</w:t>
      </w:r>
      <w:r w:rsidR="00A3208B" w:rsidRPr="00795943">
        <w:rPr>
          <w:rFonts w:cs="Arial"/>
          <w:sz w:val="22"/>
          <w:szCs w:val="22"/>
          <w:shd w:val="clear" w:color="auto" w:fill="FAFAFA"/>
        </w:rPr>
        <w:t>ould</w:t>
      </w:r>
      <w:r w:rsidR="00E0610B" w:rsidRPr="00795943">
        <w:rPr>
          <w:rFonts w:cs="Arial"/>
          <w:sz w:val="22"/>
          <w:szCs w:val="22"/>
          <w:shd w:val="clear" w:color="auto" w:fill="FAFAFA"/>
        </w:rPr>
        <w:t xml:space="preserve"> happen </w:t>
      </w:r>
      <w:r w:rsidR="00B57C7A" w:rsidRPr="00795943">
        <w:rPr>
          <w:rFonts w:cs="Arial"/>
          <w:sz w:val="22"/>
          <w:szCs w:val="22"/>
          <w:shd w:val="clear" w:color="auto" w:fill="FAFAFA"/>
        </w:rPr>
        <w:t xml:space="preserve">if a tenant was admitted to hospital at the </w:t>
      </w:r>
      <w:r w:rsidR="004574B8" w:rsidRPr="00795943">
        <w:rPr>
          <w:rFonts w:cs="Arial"/>
          <w:sz w:val="22"/>
          <w:szCs w:val="22"/>
          <w:shd w:val="clear" w:color="auto" w:fill="FAFAFA"/>
        </w:rPr>
        <w:t>point of signing</w:t>
      </w:r>
      <w:r w:rsidR="006C4D95" w:rsidRPr="00795943">
        <w:rPr>
          <w:rFonts w:cs="Arial"/>
          <w:sz w:val="22"/>
          <w:szCs w:val="22"/>
          <w:shd w:val="clear" w:color="auto" w:fill="FAFAFA"/>
        </w:rPr>
        <w:t xml:space="preserve"> or was otherwise unavail</w:t>
      </w:r>
      <w:r w:rsidR="00307414" w:rsidRPr="00795943">
        <w:rPr>
          <w:rFonts w:cs="Arial"/>
          <w:sz w:val="22"/>
          <w:szCs w:val="22"/>
          <w:shd w:val="clear" w:color="auto" w:fill="FAFAFA"/>
        </w:rPr>
        <w:t>able</w:t>
      </w:r>
      <w:r w:rsidR="004574B8" w:rsidRPr="00795943">
        <w:rPr>
          <w:rFonts w:cs="Arial"/>
          <w:sz w:val="22"/>
          <w:szCs w:val="22"/>
          <w:shd w:val="clear" w:color="auto" w:fill="FAFAFA"/>
        </w:rPr>
        <w:t xml:space="preserve">. It could also be the case that a tenant </w:t>
      </w:r>
      <w:r w:rsidR="00E80035" w:rsidRPr="00795943">
        <w:rPr>
          <w:rFonts w:cs="Arial"/>
          <w:sz w:val="22"/>
          <w:szCs w:val="22"/>
          <w:shd w:val="clear" w:color="auto" w:fill="FAFAFA"/>
        </w:rPr>
        <w:t xml:space="preserve">deliberately </w:t>
      </w:r>
      <w:r w:rsidR="001E15CF" w:rsidRPr="00795943">
        <w:rPr>
          <w:rFonts w:cs="Arial"/>
          <w:sz w:val="22"/>
          <w:szCs w:val="22"/>
          <w:shd w:val="clear" w:color="auto" w:fill="FAFAFA"/>
        </w:rPr>
        <w:t>misses a date to sign the new agreement in the knowledge that they will become of lifetime tenant</w:t>
      </w:r>
      <w:r w:rsidR="004C090D" w:rsidRPr="00795943">
        <w:rPr>
          <w:rFonts w:cs="Arial"/>
          <w:sz w:val="22"/>
          <w:szCs w:val="22"/>
          <w:shd w:val="clear" w:color="auto" w:fill="FAFAFA"/>
        </w:rPr>
        <w:t>, though this is likely to be rare</w:t>
      </w:r>
      <w:r w:rsidR="001E15CF" w:rsidRPr="00795943">
        <w:rPr>
          <w:rFonts w:cs="Arial"/>
          <w:sz w:val="22"/>
          <w:szCs w:val="22"/>
          <w:shd w:val="clear" w:color="auto" w:fill="FAFAFA"/>
        </w:rPr>
        <w:t>.</w:t>
      </w:r>
    </w:p>
    <w:p w14:paraId="77586699" w14:textId="77777777" w:rsidR="00AE6F53" w:rsidRPr="00795943" w:rsidRDefault="00AE6F53" w:rsidP="00A549AA">
      <w:pPr>
        <w:rPr>
          <w:rFonts w:cs="Arial"/>
          <w:sz w:val="22"/>
          <w:szCs w:val="22"/>
          <w:shd w:val="clear" w:color="auto" w:fill="FAFAFA"/>
        </w:rPr>
      </w:pPr>
    </w:p>
    <w:p w14:paraId="10775E7A" w14:textId="737F5356" w:rsidR="00EE4553" w:rsidRPr="00795943" w:rsidRDefault="00E56519" w:rsidP="00A549AA">
      <w:pPr>
        <w:rPr>
          <w:rFonts w:cs="Arial"/>
          <w:sz w:val="22"/>
          <w:szCs w:val="22"/>
          <w:shd w:val="clear" w:color="auto" w:fill="FAFAFA"/>
        </w:rPr>
      </w:pPr>
      <w:r w:rsidRPr="00795943">
        <w:rPr>
          <w:rFonts w:cs="Arial"/>
          <w:sz w:val="22"/>
          <w:szCs w:val="22"/>
          <w:shd w:val="clear" w:color="auto" w:fill="FAFAFA"/>
        </w:rPr>
        <w:t xml:space="preserve">The Housing &amp; Planning Act </w:t>
      </w:r>
      <w:r w:rsidR="0045328A" w:rsidRPr="00795943">
        <w:rPr>
          <w:rFonts w:cs="Arial"/>
          <w:sz w:val="22"/>
          <w:szCs w:val="22"/>
          <w:shd w:val="clear" w:color="auto" w:fill="FAFAFA"/>
        </w:rPr>
        <w:t xml:space="preserve">2016 </w:t>
      </w:r>
      <w:r w:rsidRPr="00795943">
        <w:rPr>
          <w:rFonts w:cs="Arial"/>
          <w:sz w:val="22"/>
          <w:szCs w:val="22"/>
          <w:shd w:val="clear" w:color="auto" w:fill="FAFAFA"/>
        </w:rPr>
        <w:t xml:space="preserve">acknowledged this issue and </w:t>
      </w:r>
      <w:r w:rsidR="00F31C3A" w:rsidRPr="00795943">
        <w:rPr>
          <w:rFonts w:cs="Arial"/>
          <w:sz w:val="22"/>
          <w:szCs w:val="22"/>
          <w:shd w:val="clear" w:color="auto" w:fill="FAFAFA"/>
        </w:rPr>
        <w:t xml:space="preserve">amended the law as follows: </w:t>
      </w:r>
      <w:r w:rsidR="007A035D" w:rsidRPr="00795943">
        <w:rPr>
          <w:rFonts w:cs="Arial"/>
          <w:sz w:val="22"/>
          <w:szCs w:val="22"/>
          <w:shd w:val="clear" w:color="auto" w:fill="FAFAFA"/>
        </w:rPr>
        <w:t>‘</w:t>
      </w:r>
      <w:r w:rsidR="00EE4553" w:rsidRPr="00795943">
        <w:rPr>
          <w:rFonts w:cs="Arial"/>
          <w:sz w:val="22"/>
          <w:szCs w:val="22"/>
          <w:shd w:val="clear" w:color="auto" w:fill="FAFAFA"/>
        </w:rPr>
        <w:t>unless the landlord grants a new tenancy, a further five-year fixed-term tenancy will arise automatically at the end of the fixed term.</w:t>
      </w:r>
      <w:r w:rsidR="0033745D" w:rsidRPr="00795943">
        <w:rPr>
          <w:rFonts w:cs="Arial"/>
          <w:sz w:val="22"/>
          <w:szCs w:val="22"/>
          <w:shd w:val="clear" w:color="auto" w:fill="FAFAFA"/>
        </w:rPr>
        <w:t xml:space="preserve"> </w:t>
      </w:r>
      <w:r w:rsidR="00EE4553" w:rsidRPr="00795943">
        <w:rPr>
          <w:rFonts w:cs="Arial"/>
          <w:sz w:val="22"/>
          <w:szCs w:val="22"/>
          <w:shd w:val="clear" w:color="auto" w:fill="FAFAFA"/>
        </w:rPr>
        <w:t xml:space="preserve"> That does not prevent the landlord from bringing the original tenancy to an end, but it gives the tenant some protection, while ensuring that </w:t>
      </w:r>
      <w:r w:rsidR="00EE4553" w:rsidRPr="00795943">
        <w:rPr>
          <w:rFonts w:cs="Arial"/>
          <w:sz w:val="22"/>
          <w:szCs w:val="22"/>
          <w:shd w:val="clear" w:color="auto" w:fill="FAFAFA"/>
        </w:rPr>
        <w:lastRenderedPageBreak/>
        <w:t>the tenancy does not roll over into a lifetime tenancy.</w:t>
      </w:r>
      <w:r w:rsidR="007A035D" w:rsidRPr="00795943">
        <w:rPr>
          <w:rFonts w:cs="Arial"/>
          <w:sz w:val="22"/>
          <w:szCs w:val="22"/>
          <w:shd w:val="clear" w:color="auto" w:fill="FAFAFA"/>
        </w:rPr>
        <w:t>’</w:t>
      </w:r>
      <w:r w:rsidR="0033745D" w:rsidRPr="00795943">
        <w:rPr>
          <w:rFonts w:cs="Arial"/>
          <w:sz w:val="22"/>
          <w:szCs w:val="22"/>
          <w:shd w:val="clear" w:color="auto" w:fill="FAFAFA"/>
        </w:rPr>
        <w:t xml:space="preserve">  This section of the Housing &amp; Planning Act </w:t>
      </w:r>
      <w:r w:rsidR="007A035D" w:rsidRPr="00795943">
        <w:rPr>
          <w:rFonts w:cs="Arial"/>
          <w:sz w:val="22"/>
          <w:szCs w:val="22"/>
          <w:shd w:val="clear" w:color="auto" w:fill="FAFAFA"/>
        </w:rPr>
        <w:t xml:space="preserve">2016 </w:t>
      </w:r>
      <w:r w:rsidR="0033745D" w:rsidRPr="00795943">
        <w:rPr>
          <w:rFonts w:cs="Arial"/>
          <w:sz w:val="22"/>
          <w:szCs w:val="22"/>
          <w:shd w:val="clear" w:color="auto" w:fill="FAFAFA"/>
        </w:rPr>
        <w:t xml:space="preserve">has not been </w:t>
      </w:r>
      <w:r w:rsidR="00A0697B" w:rsidRPr="00795943">
        <w:rPr>
          <w:rFonts w:cs="Arial"/>
          <w:sz w:val="22"/>
          <w:szCs w:val="22"/>
          <w:shd w:val="clear" w:color="auto" w:fill="FAFAFA"/>
        </w:rPr>
        <w:t>brought into force.</w:t>
      </w:r>
    </w:p>
    <w:p w14:paraId="5DE04D2A" w14:textId="00FD369A" w:rsidR="00BD4B16" w:rsidRPr="00795943" w:rsidRDefault="00BD4B16" w:rsidP="00A549AA">
      <w:pPr>
        <w:rPr>
          <w:rFonts w:cs="Arial"/>
          <w:sz w:val="22"/>
          <w:szCs w:val="22"/>
          <w:shd w:val="clear" w:color="auto" w:fill="FAFAFA"/>
        </w:rPr>
      </w:pPr>
    </w:p>
    <w:p w14:paraId="4961E5C0" w14:textId="616CED34" w:rsidR="00BD4B16" w:rsidRPr="00795943" w:rsidRDefault="00BD4B16" w:rsidP="00A549AA">
      <w:pPr>
        <w:rPr>
          <w:rFonts w:cs="Arial"/>
          <w:sz w:val="22"/>
          <w:szCs w:val="22"/>
          <w:shd w:val="clear" w:color="auto" w:fill="FAFAFA"/>
        </w:rPr>
      </w:pPr>
      <w:r w:rsidRPr="00795943">
        <w:rPr>
          <w:rFonts w:cs="Arial"/>
          <w:sz w:val="22"/>
          <w:szCs w:val="22"/>
          <w:shd w:val="clear" w:color="auto" w:fill="FAFAFA"/>
        </w:rPr>
        <w:t>There are problems with asking tenants to sign the new tenancy agreement at the time of the review meeting (likely to be 7</w:t>
      </w:r>
      <w:r w:rsidR="008C1F1E" w:rsidRPr="00795943">
        <w:rPr>
          <w:rFonts w:cs="Arial"/>
          <w:sz w:val="22"/>
          <w:szCs w:val="22"/>
          <w:shd w:val="clear" w:color="auto" w:fill="FAFAFA"/>
        </w:rPr>
        <w:t>-</w:t>
      </w:r>
      <w:r w:rsidRPr="00795943">
        <w:rPr>
          <w:rFonts w:cs="Arial"/>
          <w:sz w:val="22"/>
          <w:szCs w:val="22"/>
          <w:shd w:val="clear" w:color="auto" w:fill="FAFAFA"/>
        </w:rPr>
        <w:t xml:space="preserve">8 months in advance of the new tenancy date). If a tenant were to breach to tenancy conditions after the review and had signed the new agreement, the court </w:t>
      </w:r>
      <w:r w:rsidR="00960F4A" w:rsidRPr="00795943">
        <w:rPr>
          <w:rFonts w:cs="Arial"/>
          <w:sz w:val="22"/>
          <w:szCs w:val="22"/>
          <w:shd w:val="clear" w:color="auto" w:fill="FAFAFA"/>
        </w:rPr>
        <w:t xml:space="preserve">would </w:t>
      </w:r>
      <w:r w:rsidRPr="00795943">
        <w:rPr>
          <w:rFonts w:cs="Arial"/>
          <w:sz w:val="22"/>
          <w:szCs w:val="22"/>
          <w:shd w:val="clear" w:color="auto" w:fill="FAFAFA"/>
        </w:rPr>
        <w:t xml:space="preserve">not </w:t>
      </w:r>
      <w:r w:rsidR="00960F4A" w:rsidRPr="00795943">
        <w:rPr>
          <w:rFonts w:cs="Arial"/>
          <w:sz w:val="22"/>
          <w:szCs w:val="22"/>
          <w:shd w:val="clear" w:color="auto" w:fill="FAFAFA"/>
        </w:rPr>
        <w:t xml:space="preserve">be </w:t>
      </w:r>
      <w:r w:rsidRPr="00795943">
        <w:rPr>
          <w:rFonts w:cs="Arial"/>
          <w:sz w:val="22"/>
          <w:szCs w:val="22"/>
          <w:shd w:val="clear" w:color="auto" w:fill="FAFAFA"/>
        </w:rPr>
        <w:t xml:space="preserve">obliged to grant a possession order as this scenario </w:t>
      </w:r>
      <w:r w:rsidR="00C3610C" w:rsidRPr="00795943">
        <w:rPr>
          <w:rFonts w:cs="Arial"/>
          <w:sz w:val="22"/>
          <w:szCs w:val="22"/>
          <w:shd w:val="clear" w:color="auto" w:fill="FAFAFA"/>
        </w:rPr>
        <w:t xml:space="preserve">specifically </w:t>
      </w:r>
      <w:r w:rsidRPr="00795943">
        <w:rPr>
          <w:rFonts w:cs="Arial"/>
          <w:sz w:val="22"/>
          <w:szCs w:val="22"/>
          <w:shd w:val="clear" w:color="auto" w:fill="FAFAFA"/>
        </w:rPr>
        <w:t>falls outside the mandatory grounds for granting possession</w:t>
      </w:r>
      <w:r w:rsidR="00417694" w:rsidRPr="00795943">
        <w:rPr>
          <w:rFonts w:cs="Arial"/>
          <w:sz w:val="22"/>
          <w:szCs w:val="22"/>
          <w:shd w:val="clear" w:color="auto" w:fill="FAFAFA"/>
        </w:rPr>
        <w:t xml:space="preserve"> even where the requisite notices</w:t>
      </w:r>
      <w:r w:rsidR="00960F4A" w:rsidRPr="00795943">
        <w:rPr>
          <w:rFonts w:cs="Arial"/>
          <w:sz w:val="22"/>
          <w:szCs w:val="22"/>
          <w:shd w:val="clear" w:color="auto" w:fill="FAFAFA"/>
        </w:rPr>
        <w:t xml:space="preserve"> have been signed</w:t>
      </w:r>
      <w:r w:rsidRPr="00795943">
        <w:rPr>
          <w:rFonts w:cs="Arial"/>
          <w:sz w:val="22"/>
          <w:szCs w:val="22"/>
          <w:shd w:val="clear" w:color="auto" w:fill="FAFAFA"/>
        </w:rPr>
        <w:t>.</w:t>
      </w:r>
    </w:p>
    <w:p w14:paraId="0D246C78" w14:textId="77777777" w:rsidR="00BD4B16" w:rsidRPr="00795943" w:rsidRDefault="00BD4B16" w:rsidP="00A775B0">
      <w:pPr>
        <w:jc w:val="left"/>
        <w:rPr>
          <w:rFonts w:cs="Arial"/>
          <w:sz w:val="22"/>
          <w:szCs w:val="22"/>
          <w:shd w:val="clear" w:color="auto" w:fill="FAFAFA"/>
        </w:rPr>
      </w:pPr>
    </w:p>
    <w:p w14:paraId="7AC767F3" w14:textId="178716AF" w:rsidR="009D46B8" w:rsidRPr="00795943" w:rsidRDefault="00FD47DA" w:rsidP="0046097F">
      <w:pPr>
        <w:pStyle w:val="ListParagraph"/>
        <w:numPr>
          <w:ilvl w:val="0"/>
          <w:numId w:val="1"/>
        </w:numPr>
        <w:jc w:val="left"/>
        <w:rPr>
          <w:rFonts w:cs="Arial"/>
          <w:b/>
          <w:bCs/>
          <w:sz w:val="22"/>
          <w:szCs w:val="22"/>
        </w:rPr>
      </w:pPr>
      <w:r w:rsidRPr="00795943">
        <w:rPr>
          <w:rFonts w:cs="Arial"/>
          <w:b/>
          <w:bCs/>
          <w:sz w:val="22"/>
          <w:szCs w:val="22"/>
        </w:rPr>
        <w:t>Moving to alternative accommodation</w:t>
      </w:r>
    </w:p>
    <w:p w14:paraId="25FDC564" w14:textId="77777777" w:rsidR="0046097F" w:rsidRPr="00795943" w:rsidRDefault="0046097F" w:rsidP="00A775B0">
      <w:pPr>
        <w:jc w:val="left"/>
        <w:rPr>
          <w:rFonts w:cs="Arial"/>
          <w:sz w:val="22"/>
          <w:szCs w:val="22"/>
        </w:rPr>
      </w:pPr>
    </w:p>
    <w:p w14:paraId="2B058397" w14:textId="77777777" w:rsidR="00CB6A05" w:rsidRPr="00795943" w:rsidRDefault="00573F27" w:rsidP="00A549AA">
      <w:pPr>
        <w:rPr>
          <w:rFonts w:cs="Arial"/>
          <w:sz w:val="22"/>
          <w:szCs w:val="22"/>
          <w:shd w:val="clear" w:color="auto" w:fill="FAFAFA"/>
        </w:rPr>
      </w:pPr>
      <w:r w:rsidRPr="00795943">
        <w:rPr>
          <w:rFonts w:cs="Arial"/>
          <w:sz w:val="22"/>
          <w:szCs w:val="22"/>
        </w:rPr>
        <w:t>Where</w:t>
      </w:r>
      <w:r w:rsidR="00FD47DA" w:rsidRPr="00795943">
        <w:rPr>
          <w:rFonts w:cs="Arial"/>
          <w:sz w:val="22"/>
          <w:szCs w:val="22"/>
        </w:rPr>
        <w:t xml:space="preserve"> the </w:t>
      </w:r>
      <w:r w:rsidRPr="00795943">
        <w:rPr>
          <w:rFonts w:cs="Arial"/>
          <w:sz w:val="22"/>
          <w:szCs w:val="22"/>
        </w:rPr>
        <w:t>Council</w:t>
      </w:r>
      <w:r w:rsidR="00FD47DA" w:rsidRPr="00795943">
        <w:rPr>
          <w:rFonts w:cs="Arial"/>
          <w:sz w:val="22"/>
          <w:szCs w:val="22"/>
        </w:rPr>
        <w:t xml:space="preserve"> wants </w:t>
      </w:r>
      <w:r w:rsidRPr="00795943">
        <w:rPr>
          <w:rFonts w:cs="Arial"/>
          <w:sz w:val="22"/>
          <w:szCs w:val="22"/>
        </w:rPr>
        <w:t>a</w:t>
      </w:r>
      <w:r w:rsidR="00FD47DA" w:rsidRPr="00795943">
        <w:rPr>
          <w:rFonts w:cs="Arial"/>
          <w:sz w:val="22"/>
          <w:szCs w:val="22"/>
        </w:rPr>
        <w:t xml:space="preserve"> tenant to move to different</w:t>
      </w:r>
      <w:r w:rsidR="000E57CC" w:rsidRPr="00795943">
        <w:rPr>
          <w:rFonts w:cs="Arial"/>
          <w:sz w:val="22"/>
          <w:szCs w:val="22"/>
        </w:rPr>
        <w:t xml:space="preserve">, </w:t>
      </w:r>
      <w:r w:rsidR="00FD47DA" w:rsidRPr="00795943">
        <w:rPr>
          <w:rFonts w:cs="Arial"/>
          <w:sz w:val="22"/>
          <w:szCs w:val="22"/>
        </w:rPr>
        <w:t>smaller accommodation with a new flexible tenancy the</w:t>
      </w:r>
      <w:r w:rsidR="007646DC" w:rsidRPr="00795943">
        <w:rPr>
          <w:rFonts w:cs="Arial"/>
          <w:sz w:val="22"/>
          <w:szCs w:val="22"/>
        </w:rPr>
        <w:t xml:space="preserve">re is an added complication in that </w:t>
      </w:r>
      <w:r w:rsidR="00FD47DA" w:rsidRPr="00795943">
        <w:rPr>
          <w:rFonts w:cs="Arial"/>
          <w:sz w:val="22"/>
          <w:szCs w:val="22"/>
        </w:rPr>
        <w:t xml:space="preserve">acceptance of the offer of a new flexible tenancy by signing the new tenancy is not </w:t>
      </w:r>
      <w:r w:rsidR="007B456A" w:rsidRPr="00795943">
        <w:rPr>
          <w:rFonts w:cs="Arial"/>
          <w:sz w:val="22"/>
          <w:szCs w:val="22"/>
        </w:rPr>
        <w:t>sufficient</w:t>
      </w:r>
      <w:r w:rsidR="00FD47DA" w:rsidRPr="00795943">
        <w:rPr>
          <w:rFonts w:cs="Arial"/>
          <w:sz w:val="22"/>
          <w:szCs w:val="22"/>
        </w:rPr>
        <w:t xml:space="preserve">, </w:t>
      </w:r>
      <w:r w:rsidR="007646DC" w:rsidRPr="00795943">
        <w:rPr>
          <w:rFonts w:cs="Arial"/>
          <w:sz w:val="22"/>
          <w:szCs w:val="22"/>
        </w:rPr>
        <w:t>t</w:t>
      </w:r>
      <w:r w:rsidR="00FD47DA" w:rsidRPr="00795943">
        <w:rPr>
          <w:rFonts w:cs="Arial"/>
          <w:sz w:val="22"/>
          <w:szCs w:val="22"/>
        </w:rPr>
        <w:t>he</w:t>
      </w:r>
      <w:r w:rsidR="007646DC" w:rsidRPr="00795943">
        <w:rPr>
          <w:rFonts w:cs="Arial"/>
          <w:sz w:val="22"/>
          <w:szCs w:val="22"/>
        </w:rPr>
        <w:t xml:space="preserve"> tenant</w:t>
      </w:r>
      <w:r w:rsidR="00FD47DA" w:rsidRPr="00795943">
        <w:rPr>
          <w:rFonts w:cs="Arial"/>
          <w:sz w:val="22"/>
          <w:szCs w:val="22"/>
        </w:rPr>
        <w:t xml:space="preserve"> must actually move.</w:t>
      </w:r>
      <w:r w:rsidR="00836217" w:rsidRPr="00795943">
        <w:rPr>
          <w:rFonts w:cs="Arial"/>
          <w:sz w:val="22"/>
          <w:szCs w:val="22"/>
        </w:rPr>
        <w:t xml:space="preserve">  Otherwise </w:t>
      </w:r>
      <w:r w:rsidR="0008674E" w:rsidRPr="00795943">
        <w:rPr>
          <w:rFonts w:cs="Arial"/>
          <w:sz w:val="22"/>
          <w:szCs w:val="22"/>
        </w:rPr>
        <w:t xml:space="preserve">if the tenant has signed the new agreement but not moved prior to the end of the tenancy term, </w:t>
      </w:r>
      <w:r w:rsidR="008E2E91" w:rsidRPr="00795943">
        <w:rPr>
          <w:rFonts w:cs="Arial"/>
          <w:sz w:val="22"/>
          <w:szCs w:val="22"/>
          <w:shd w:val="clear" w:color="auto" w:fill="FAFAFA"/>
        </w:rPr>
        <w:t>the court is not obliged to grant a possession order as this scenario specifically falls outside the mandatory grounds for granting possession</w:t>
      </w:r>
      <w:r w:rsidR="00417694" w:rsidRPr="00795943">
        <w:rPr>
          <w:rFonts w:cs="Arial"/>
          <w:sz w:val="22"/>
          <w:szCs w:val="22"/>
          <w:shd w:val="clear" w:color="auto" w:fill="FAFAFA"/>
        </w:rPr>
        <w:t xml:space="preserve"> even </w:t>
      </w:r>
      <w:r w:rsidR="00CB6A05" w:rsidRPr="00795943">
        <w:rPr>
          <w:rFonts w:cs="Arial"/>
          <w:sz w:val="22"/>
          <w:szCs w:val="22"/>
          <w:shd w:val="clear" w:color="auto" w:fill="FAFAFA"/>
        </w:rPr>
        <w:t>where the requisite notices have been signed.</w:t>
      </w:r>
    </w:p>
    <w:p w14:paraId="6A908F14" w14:textId="0D961033" w:rsidR="008E2E91" w:rsidRPr="00795943" w:rsidRDefault="008E2E91" w:rsidP="00A549AA">
      <w:pPr>
        <w:rPr>
          <w:rFonts w:cs="Arial"/>
          <w:sz w:val="22"/>
          <w:szCs w:val="22"/>
          <w:shd w:val="clear" w:color="auto" w:fill="FAFAFA"/>
        </w:rPr>
      </w:pPr>
    </w:p>
    <w:p w14:paraId="70894E31" w14:textId="1786CF04" w:rsidR="00FD47DA" w:rsidRPr="00795943" w:rsidRDefault="00904255" w:rsidP="00A549AA">
      <w:pPr>
        <w:pStyle w:val="NormalWeb"/>
        <w:spacing w:before="0" w:beforeAutospacing="0" w:after="0" w:afterAutospacing="0"/>
        <w:jc w:val="both"/>
        <w:rPr>
          <w:rFonts w:ascii="Arial" w:hAnsi="Arial" w:cs="Arial"/>
          <w:sz w:val="22"/>
          <w:szCs w:val="22"/>
        </w:rPr>
      </w:pPr>
      <w:r w:rsidRPr="00795943">
        <w:rPr>
          <w:rFonts w:ascii="Arial" w:hAnsi="Arial" w:cs="Arial"/>
          <w:sz w:val="22"/>
          <w:szCs w:val="22"/>
        </w:rPr>
        <w:t>A</w:t>
      </w:r>
      <w:r w:rsidR="00DB147A" w:rsidRPr="00795943">
        <w:rPr>
          <w:rFonts w:ascii="Arial" w:hAnsi="Arial" w:cs="Arial"/>
          <w:sz w:val="22"/>
          <w:szCs w:val="22"/>
        </w:rPr>
        <w:t>lternative accommodation of the required size may not be readily available</w:t>
      </w:r>
      <w:r w:rsidR="00482085" w:rsidRPr="00795943">
        <w:rPr>
          <w:rFonts w:ascii="Arial" w:hAnsi="Arial" w:cs="Arial"/>
          <w:sz w:val="22"/>
          <w:szCs w:val="22"/>
        </w:rPr>
        <w:t>, particularly in view of the small social housing stock in Harrow</w:t>
      </w:r>
      <w:r w:rsidR="00DB147A" w:rsidRPr="00795943">
        <w:rPr>
          <w:rFonts w:ascii="Arial" w:hAnsi="Arial" w:cs="Arial"/>
          <w:sz w:val="22"/>
          <w:szCs w:val="22"/>
        </w:rPr>
        <w:t>.</w:t>
      </w:r>
    </w:p>
    <w:p w14:paraId="491CC625" w14:textId="77777777" w:rsidR="00945EB5" w:rsidRPr="00795943" w:rsidRDefault="00945EB5" w:rsidP="00A775B0">
      <w:pPr>
        <w:jc w:val="left"/>
        <w:rPr>
          <w:rFonts w:cs="Arial"/>
          <w:b/>
          <w:bCs/>
          <w:sz w:val="22"/>
          <w:szCs w:val="22"/>
        </w:rPr>
      </w:pPr>
    </w:p>
    <w:p w14:paraId="787A9089" w14:textId="1DF3D420" w:rsidR="001248B5" w:rsidRPr="00795943" w:rsidRDefault="000C5F6D" w:rsidP="0046097F">
      <w:pPr>
        <w:pStyle w:val="ListParagraph"/>
        <w:numPr>
          <w:ilvl w:val="0"/>
          <w:numId w:val="1"/>
        </w:numPr>
        <w:jc w:val="left"/>
        <w:rPr>
          <w:rFonts w:cs="Arial"/>
          <w:b/>
          <w:bCs/>
          <w:sz w:val="22"/>
          <w:szCs w:val="22"/>
        </w:rPr>
      </w:pPr>
      <w:r w:rsidRPr="00795943">
        <w:rPr>
          <w:rFonts w:cs="Arial"/>
          <w:b/>
          <w:bCs/>
          <w:sz w:val="22"/>
          <w:szCs w:val="22"/>
        </w:rPr>
        <w:t>Providing advice and information when not renewing a tenancy</w:t>
      </w:r>
    </w:p>
    <w:p w14:paraId="6845FE95" w14:textId="77777777" w:rsidR="0046097F" w:rsidRPr="00795943" w:rsidRDefault="0046097F" w:rsidP="00A775B0">
      <w:pPr>
        <w:jc w:val="left"/>
        <w:rPr>
          <w:rFonts w:cs="Arial"/>
          <w:sz w:val="22"/>
          <w:szCs w:val="22"/>
        </w:rPr>
      </w:pPr>
    </w:p>
    <w:p w14:paraId="09847F3A" w14:textId="28FEC98C" w:rsidR="00C4177D" w:rsidRPr="00795943" w:rsidRDefault="006B62B3" w:rsidP="00A549AA">
      <w:pPr>
        <w:rPr>
          <w:rFonts w:cs="Arial"/>
          <w:b/>
          <w:bCs/>
          <w:sz w:val="22"/>
          <w:szCs w:val="22"/>
        </w:rPr>
      </w:pPr>
      <w:r w:rsidRPr="00795943">
        <w:rPr>
          <w:rFonts w:cs="Arial"/>
          <w:sz w:val="22"/>
          <w:szCs w:val="22"/>
        </w:rPr>
        <w:t xml:space="preserve">This provision within the legislation is </w:t>
      </w:r>
      <w:r w:rsidR="000744E4" w:rsidRPr="00795943">
        <w:rPr>
          <w:rFonts w:cs="Arial"/>
          <w:sz w:val="22"/>
          <w:szCs w:val="22"/>
        </w:rPr>
        <w:t xml:space="preserve">not readily compatible with the Council’s decision not to award another flexible tenancy due to the tenant’s </w:t>
      </w:r>
      <w:r w:rsidR="00500C87" w:rsidRPr="00795943">
        <w:rPr>
          <w:rFonts w:cs="Arial"/>
          <w:sz w:val="22"/>
          <w:szCs w:val="22"/>
        </w:rPr>
        <w:t xml:space="preserve">conduct. This fits as part of the aspirational aspect of flexible tenancies that people will move on of their own accord at the end of </w:t>
      </w:r>
      <w:r w:rsidR="00591A48" w:rsidRPr="00795943">
        <w:rPr>
          <w:rFonts w:cs="Arial"/>
          <w:sz w:val="22"/>
          <w:szCs w:val="22"/>
        </w:rPr>
        <w:t>the 5</w:t>
      </w:r>
      <w:r w:rsidR="00BF162D" w:rsidRPr="00795943">
        <w:rPr>
          <w:rFonts w:cs="Arial"/>
          <w:sz w:val="22"/>
          <w:szCs w:val="22"/>
        </w:rPr>
        <w:t>-</w:t>
      </w:r>
      <w:r w:rsidR="00591A48" w:rsidRPr="00795943">
        <w:rPr>
          <w:rFonts w:cs="Arial"/>
          <w:sz w:val="22"/>
          <w:szCs w:val="22"/>
        </w:rPr>
        <w:t xml:space="preserve">year tenancy as their income has improved or other opportunities for home ownership have arisen. </w:t>
      </w:r>
      <w:r w:rsidR="00692673" w:rsidRPr="00795943">
        <w:rPr>
          <w:rFonts w:cs="Arial"/>
          <w:sz w:val="22"/>
          <w:szCs w:val="22"/>
        </w:rPr>
        <w:t>Even if</w:t>
      </w:r>
      <w:r w:rsidR="00591A48" w:rsidRPr="00795943">
        <w:rPr>
          <w:rFonts w:cs="Arial"/>
          <w:sz w:val="22"/>
          <w:szCs w:val="22"/>
        </w:rPr>
        <w:t xml:space="preserve"> the Council does not wish to offer a further tenancy due to </w:t>
      </w:r>
      <w:r w:rsidR="009C61E8" w:rsidRPr="00795943">
        <w:rPr>
          <w:rFonts w:cs="Arial"/>
          <w:sz w:val="22"/>
          <w:szCs w:val="22"/>
        </w:rPr>
        <w:t>tenan</w:t>
      </w:r>
      <w:r w:rsidR="00B24AB0" w:rsidRPr="00795943">
        <w:rPr>
          <w:rFonts w:cs="Arial"/>
          <w:sz w:val="22"/>
          <w:szCs w:val="22"/>
        </w:rPr>
        <w:t>t’s</w:t>
      </w:r>
      <w:r w:rsidR="009C61E8" w:rsidRPr="00795943">
        <w:rPr>
          <w:rFonts w:cs="Arial"/>
          <w:sz w:val="22"/>
          <w:szCs w:val="22"/>
        </w:rPr>
        <w:t xml:space="preserve"> conduct</w:t>
      </w:r>
      <w:r w:rsidR="00591A48" w:rsidRPr="00795943">
        <w:rPr>
          <w:rFonts w:cs="Arial"/>
          <w:sz w:val="22"/>
          <w:szCs w:val="22"/>
        </w:rPr>
        <w:t>,</w:t>
      </w:r>
      <w:r w:rsidR="00692673" w:rsidRPr="00795943">
        <w:rPr>
          <w:rFonts w:cs="Arial"/>
          <w:sz w:val="22"/>
          <w:szCs w:val="22"/>
        </w:rPr>
        <w:t xml:space="preserve"> </w:t>
      </w:r>
      <w:r w:rsidR="00B24AB0" w:rsidRPr="00795943">
        <w:rPr>
          <w:rFonts w:cs="Arial"/>
          <w:sz w:val="22"/>
          <w:szCs w:val="22"/>
        </w:rPr>
        <w:t xml:space="preserve">the Council is </w:t>
      </w:r>
      <w:r w:rsidR="00692673" w:rsidRPr="00795943">
        <w:rPr>
          <w:rFonts w:cs="Arial"/>
          <w:sz w:val="22"/>
          <w:szCs w:val="22"/>
        </w:rPr>
        <w:t>still obliged to offer advice on future housing options</w:t>
      </w:r>
      <w:r w:rsidR="004D35FC" w:rsidRPr="00795943">
        <w:rPr>
          <w:rFonts w:cs="Arial"/>
          <w:sz w:val="22"/>
          <w:szCs w:val="22"/>
        </w:rPr>
        <w:t xml:space="preserve"> which may be very con</w:t>
      </w:r>
      <w:r w:rsidR="00C07D3F" w:rsidRPr="00795943">
        <w:rPr>
          <w:rFonts w:cs="Arial"/>
          <w:sz w:val="22"/>
          <w:szCs w:val="22"/>
        </w:rPr>
        <w:t>t</w:t>
      </w:r>
      <w:r w:rsidR="004D35FC" w:rsidRPr="00795943">
        <w:rPr>
          <w:rFonts w:cs="Arial"/>
          <w:sz w:val="22"/>
          <w:szCs w:val="22"/>
        </w:rPr>
        <w:t>ra</w:t>
      </w:r>
      <w:r w:rsidR="00C07D3F" w:rsidRPr="00795943">
        <w:rPr>
          <w:rFonts w:cs="Arial"/>
          <w:sz w:val="22"/>
          <w:szCs w:val="22"/>
        </w:rPr>
        <w:t>d</w:t>
      </w:r>
      <w:r w:rsidR="004D35FC" w:rsidRPr="00795943">
        <w:rPr>
          <w:rFonts w:cs="Arial"/>
          <w:sz w:val="22"/>
          <w:szCs w:val="22"/>
        </w:rPr>
        <w:t xml:space="preserve">ictory to the reality of </w:t>
      </w:r>
      <w:r w:rsidR="009C61E8" w:rsidRPr="00795943">
        <w:rPr>
          <w:rFonts w:cs="Arial"/>
          <w:sz w:val="22"/>
          <w:szCs w:val="22"/>
        </w:rPr>
        <w:t xml:space="preserve">the reason for </w:t>
      </w:r>
      <w:r w:rsidR="004D35FC" w:rsidRPr="00795943">
        <w:rPr>
          <w:rFonts w:cs="Arial"/>
          <w:sz w:val="22"/>
          <w:szCs w:val="22"/>
        </w:rPr>
        <w:t>eviction</w:t>
      </w:r>
      <w:r w:rsidR="009C61E8" w:rsidRPr="00795943">
        <w:rPr>
          <w:rFonts w:cs="Arial"/>
          <w:sz w:val="22"/>
          <w:szCs w:val="22"/>
        </w:rPr>
        <w:t>.</w:t>
      </w:r>
    </w:p>
    <w:p w14:paraId="0CC1FC07" w14:textId="77777777" w:rsidR="00795943" w:rsidRPr="00795943" w:rsidRDefault="00795943" w:rsidP="00A549AA">
      <w:pPr>
        <w:autoSpaceDE w:val="0"/>
        <w:autoSpaceDN w:val="0"/>
        <w:adjustRightInd w:val="0"/>
        <w:rPr>
          <w:rFonts w:eastAsiaTheme="minorHAnsi" w:cs="Arial"/>
          <w:sz w:val="22"/>
          <w:szCs w:val="22"/>
        </w:rPr>
      </w:pPr>
    </w:p>
    <w:p w14:paraId="4F1DFFB4" w14:textId="0EE76637" w:rsidR="00CD6015" w:rsidRPr="00795943" w:rsidRDefault="00CD6015" w:rsidP="00A549AA">
      <w:pPr>
        <w:autoSpaceDE w:val="0"/>
        <w:autoSpaceDN w:val="0"/>
        <w:adjustRightInd w:val="0"/>
        <w:rPr>
          <w:rFonts w:eastAsiaTheme="minorHAnsi" w:cs="Arial"/>
          <w:sz w:val="22"/>
          <w:szCs w:val="22"/>
        </w:rPr>
      </w:pPr>
      <w:r w:rsidRPr="00795943">
        <w:rPr>
          <w:rFonts w:eastAsiaTheme="minorHAnsi" w:cs="Arial"/>
          <w:sz w:val="22"/>
          <w:szCs w:val="22"/>
        </w:rPr>
        <w:t xml:space="preserve">The </w:t>
      </w:r>
      <w:r w:rsidR="0010690E" w:rsidRPr="00795943">
        <w:rPr>
          <w:rFonts w:eastAsiaTheme="minorHAnsi" w:cs="Arial"/>
          <w:sz w:val="22"/>
          <w:szCs w:val="22"/>
        </w:rPr>
        <w:t xml:space="preserve">regulatory Tenant Standards says </w:t>
      </w:r>
      <w:r w:rsidR="009C61E8" w:rsidRPr="00795943">
        <w:rPr>
          <w:rFonts w:eastAsiaTheme="minorHAnsi" w:cs="Arial"/>
          <w:sz w:val="22"/>
          <w:szCs w:val="22"/>
        </w:rPr>
        <w:t xml:space="preserve">that as part of the Tenant Policy </w:t>
      </w:r>
      <w:r w:rsidR="0006658A">
        <w:rPr>
          <w:rFonts w:eastAsiaTheme="minorHAnsi" w:cs="Arial"/>
          <w:sz w:val="22"/>
          <w:szCs w:val="22"/>
        </w:rPr>
        <w:t xml:space="preserve">the </w:t>
      </w:r>
      <w:r w:rsidR="00BD0134">
        <w:rPr>
          <w:rFonts w:eastAsiaTheme="minorHAnsi" w:cs="Arial"/>
          <w:sz w:val="22"/>
          <w:szCs w:val="22"/>
        </w:rPr>
        <w:t>Registered Provider</w:t>
      </w:r>
      <w:r w:rsidR="009C61E8" w:rsidRPr="00795943">
        <w:rPr>
          <w:rFonts w:eastAsiaTheme="minorHAnsi" w:cs="Arial"/>
          <w:sz w:val="22"/>
          <w:szCs w:val="22"/>
        </w:rPr>
        <w:t xml:space="preserve"> must set out </w:t>
      </w:r>
      <w:r w:rsidR="00BD0134">
        <w:rPr>
          <w:rFonts w:eastAsiaTheme="minorHAnsi" w:cs="Arial"/>
          <w:sz w:val="22"/>
          <w:szCs w:val="22"/>
        </w:rPr>
        <w:t>‘</w:t>
      </w:r>
      <w:r w:rsidR="0010690E" w:rsidRPr="00795943">
        <w:rPr>
          <w:rFonts w:cs="Arial"/>
          <w:sz w:val="22"/>
          <w:szCs w:val="22"/>
          <w:lang w:val="en"/>
        </w:rPr>
        <w:t>The advice and assistance they will give to tenants on finding alternative accommodation in the event that they decide not to grant another tenancy.</w:t>
      </w:r>
      <w:r w:rsidR="00BD0134">
        <w:rPr>
          <w:rFonts w:cs="Arial"/>
          <w:sz w:val="22"/>
          <w:szCs w:val="22"/>
          <w:lang w:val="en"/>
        </w:rPr>
        <w:t>’</w:t>
      </w:r>
      <w:r w:rsidR="008F460B" w:rsidRPr="00795943">
        <w:rPr>
          <w:rFonts w:cs="Arial"/>
          <w:sz w:val="22"/>
          <w:szCs w:val="22"/>
          <w:lang w:val="en"/>
        </w:rPr>
        <w:t xml:space="preserve"> </w:t>
      </w:r>
      <w:r w:rsidR="00BD0134">
        <w:rPr>
          <w:rFonts w:cs="Arial"/>
          <w:sz w:val="22"/>
          <w:szCs w:val="22"/>
          <w:lang w:val="en"/>
        </w:rPr>
        <w:t xml:space="preserve">Harrow Council’s </w:t>
      </w:r>
      <w:r w:rsidR="008F460B" w:rsidRPr="00795943">
        <w:rPr>
          <w:rFonts w:cs="Arial"/>
          <w:sz w:val="22"/>
          <w:szCs w:val="22"/>
          <w:lang w:val="en"/>
        </w:rPr>
        <w:t>current Tenant Policy states that</w:t>
      </w:r>
      <w:r w:rsidR="0028388E" w:rsidRPr="00795943">
        <w:rPr>
          <w:rFonts w:cs="Arial"/>
          <w:sz w:val="22"/>
          <w:szCs w:val="22"/>
          <w:lang w:val="en"/>
        </w:rPr>
        <w:t xml:space="preserve"> </w:t>
      </w:r>
      <w:r w:rsidR="00557369">
        <w:rPr>
          <w:rFonts w:cs="Arial"/>
          <w:sz w:val="22"/>
          <w:szCs w:val="22"/>
          <w:lang w:val="en"/>
        </w:rPr>
        <w:t>‘</w:t>
      </w:r>
      <w:r w:rsidR="0028388E" w:rsidRPr="00795943">
        <w:rPr>
          <w:rFonts w:eastAsiaTheme="minorHAnsi" w:cs="Arial"/>
          <w:sz w:val="22"/>
          <w:szCs w:val="22"/>
        </w:rPr>
        <w:t>The tenancy review should primarily be an opportunity for both landlord and tenant to consider if the current home still best meets the tenants needs and how it might be possible to meet future aspirations for example for home ownership by discussing low cost home ownership options available, savings for deposits etc</w:t>
      </w:r>
      <w:r w:rsidR="00557369">
        <w:rPr>
          <w:rFonts w:eastAsiaTheme="minorHAnsi" w:cs="Arial"/>
          <w:sz w:val="22"/>
          <w:szCs w:val="22"/>
        </w:rPr>
        <w:t>.’</w:t>
      </w:r>
      <w:r w:rsidR="0028388E" w:rsidRPr="00795943">
        <w:rPr>
          <w:rFonts w:eastAsiaTheme="minorHAnsi" w:cs="Arial"/>
          <w:sz w:val="22"/>
          <w:szCs w:val="22"/>
        </w:rPr>
        <w:t xml:space="preserve">.  </w:t>
      </w:r>
    </w:p>
    <w:p w14:paraId="073B015F" w14:textId="7DB04DCF" w:rsidR="0028388E" w:rsidRPr="00795943" w:rsidRDefault="0028388E" w:rsidP="00A549AA">
      <w:pPr>
        <w:autoSpaceDE w:val="0"/>
        <w:autoSpaceDN w:val="0"/>
        <w:adjustRightInd w:val="0"/>
        <w:rPr>
          <w:rFonts w:eastAsiaTheme="minorHAnsi" w:cs="Arial"/>
          <w:sz w:val="22"/>
          <w:szCs w:val="22"/>
        </w:rPr>
      </w:pPr>
    </w:p>
    <w:p w14:paraId="6FA5F628" w14:textId="034B2AD9" w:rsidR="0028388E" w:rsidRPr="00795943" w:rsidRDefault="00632EBE" w:rsidP="00A549AA">
      <w:pPr>
        <w:autoSpaceDE w:val="0"/>
        <w:autoSpaceDN w:val="0"/>
        <w:adjustRightInd w:val="0"/>
        <w:rPr>
          <w:rFonts w:eastAsiaTheme="minorHAnsi" w:cs="Arial"/>
          <w:sz w:val="22"/>
          <w:szCs w:val="22"/>
        </w:rPr>
      </w:pPr>
      <w:r>
        <w:rPr>
          <w:rFonts w:eastAsiaTheme="minorHAnsi" w:cs="Arial"/>
          <w:sz w:val="22"/>
          <w:szCs w:val="22"/>
        </w:rPr>
        <w:t xml:space="preserve">Harrow Council’s Housing Services is </w:t>
      </w:r>
      <w:r w:rsidR="00490F23" w:rsidRPr="00795943">
        <w:rPr>
          <w:rFonts w:eastAsiaTheme="minorHAnsi" w:cs="Arial"/>
          <w:sz w:val="22"/>
          <w:szCs w:val="22"/>
        </w:rPr>
        <w:t>currently carr</w:t>
      </w:r>
      <w:r>
        <w:rPr>
          <w:rFonts w:eastAsiaTheme="minorHAnsi" w:cs="Arial"/>
          <w:sz w:val="22"/>
          <w:szCs w:val="22"/>
        </w:rPr>
        <w:t>ying</w:t>
      </w:r>
      <w:r w:rsidR="00490F23" w:rsidRPr="00795943">
        <w:rPr>
          <w:rFonts w:eastAsiaTheme="minorHAnsi" w:cs="Arial"/>
          <w:sz w:val="22"/>
          <w:szCs w:val="22"/>
        </w:rPr>
        <w:t xml:space="preserve"> out a rolling 3</w:t>
      </w:r>
      <w:r w:rsidR="00BF162D" w:rsidRPr="00795943">
        <w:rPr>
          <w:rFonts w:eastAsiaTheme="minorHAnsi" w:cs="Arial"/>
          <w:sz w:val="22"/>
          <w:szCs w:val="22"/>
        </w:rPr>
        <w:t>-</w:t>
      </w:r>
      <w:r w:rsidR="00490F23" w:rsidRPr="00795943">
        <w:rPr>
          <w:rFonts w:eastAsiaTheme="minorHAnsi" w:cs="Arial"/>
          <w:sz w:val="22"/>
          <w:szCs w:val="22"/>
        </w:rPr>
        <w:t>year programme of tenancy audits. Discussing tenant aspirations to move on</w:t>
      </w:r>
      <w:r w:rsidR="00706460">
        <w:rPr>
          <w:rFonts w:eastAsiaTheme="minorHAnsi" w:cs="Arial"/>
          <w:sz w:val="22"/>
          <w:szCs w:val="22"/>
        </w:rPr>
        <w:t xml:space="preserve"> to alternative accommodation</w:t>
      </w:r>
      <w:r w:rsidR="00490F23" w:rsidRPr="00795943">
        <w:rPr>
          <w:rFonts w:eastAsiaTheme="minorHAnsi" w:cs="Arial"/>
          <w:sz w:val="22"/>
          <w:szCs w:val="22"/>
        </w:rPr>
        <w:t xml:space="preserve"> would </w:t>
      </w:r>
      <w:r w:rsidR="00A16126">
        <w:rPr>
          <w:rFonts w:eastAsiaTheme="minorHAnsi" w:cs="Arial"/>
          <w:sz w:val="22"/>
          <w:szCs w:val="22"/>
        </w:rPr>
        <w:t xml:space="preserve">be more appropriate as </w:t>
      </w:r>
      <w:r w:rsidR="00490F23" w:rsidRPr="00795943">
        <w:rPr>
          <w:rFonts w:eastAsiaTheme="minorHAnsi" w:cs="Arial"/>
          <w:sz w:val="22"/>
          <w:szCs w:val="22"/>
        </w:rPr>
        <w:t>part of th</w:t>
      </w:r>
      <w:r w:rsidR="0066267B" w:rsidRPr="00795943">
        <w:rPr>
          <w:rFonts w:eastAsiaTheme="minorHAnsi" w:cs="Arial"/>
          <w:sz w:val="22"/>
          <w:szCs w:val="22"/>
        </w:rPr>
        <w:t>e tenancy audit</w:t>
      </w:r>
      <w:r w:rsidR="00490F23" w:rsidRPr="00795943">
        <w:rPr>
          <w:rFonts w:eastAsiaTheme="minorHAnsi" w:cs="Arial"/>
          <w:sz w:val="22"/>
          <w:szCs w:val="22"/>
        </w:rPr>
        <w:t xml:space="preserve"> discussion </w:t>
      </w:r>
      <w:r w:rsidR="0066267B" w:rsidRPr="00795943">
        <w:rPr>
          <w:rFonts w:eastAsiaTheme="minorHAnsi" w:cs="Arial"/>
          <w:sz w:val="22"/>
          <w:szCs w:val="22"/>
        </w:rPr>
        <w:t xml:space="preserve">than at </w:t>
      </w:r>
      <w:r w:rsidR="00A16126">
        <w:rPr>
          <w:rFonts w:eastAsiaTheme="minorHAnsi" w:cs="Arial"/>
          <w:sz w:val="22"/>
          <w:szCs w:val="22"/>
        </w:rPr>
        <w:t>the stage of s</w:t>
      </w:r>
      <w:r w:rsidR="0066267B" w:rsidRPr="00795943">
        <w:rPr>
          <w:rFonts w:eastAsiaTheme="minorHAnsi" w:cs="Arial"/>
          <w:sz w:val="22"/>
          <w:szCs w:val="22"/>
        </w:rPr>
        <w:t xml:space="preserve">eeking possession on conduct grounds. </w:t>
      </w:r>
      <w:r w:rsidR="007618F7" w:rsidRPr="00795943">
        <w:rPr>
          <w:rFonts w:eastAsiaTheme="minorHAnsi" w:cs="Arial"/>
          <w:sz w:val="22"/>
          <w:szCs w:val="22"/>
        </w:rPr>
        <w:t xml:space="preserve"> It</w:t>
      </w:r>
      <w:r w:rsidR="00490F23" w:rsidRPr="00795943">
        <w:rPr>
          <w:rFonts w:eastAsiaTheme="minorHAnsi" w:cs="Arial"/>
          <w:sz w:val="22"/>
          <w:szCs w:val="22"/>
        </w:rPr>
        <w:t xml:space="preserve"> can also be raised by a tenant at any time.  </w:t>
      </w:r>
    </w:p>
    <w:p w14:paraId="3DF6F042" w14:textId="235BB723" w:rsidR="004B0652" w:rsidRPr="00795943" w:rsidRDefault="004B0652" w:rsidP="00A775B0">
      <w:pPr>
        <w:autoSpaceDE w:val="0"/>
        <w:autoSpaceDN w:val="0"/>
        <w:adjustRightInd w:val="0"/>
        <w:jc w:val="left"/>
        <w:rPr>
          <w:rFonts w:cs="Arial"/>
          <w:sz w:val="22"/>
          <w:szCs w:val="22"/>
        </w:rPr>
      </w:pPr>
    </w:p>
    <w:p w14:paraId="34699E58" w14:textId="581CE595" w:rsidR="004B0652" w:rsidRPr="00795943" w:rsidRDefault="004B0652" w:rsidP="0046097F">
      <w:pPr>
        <w:pStyle w:val="ListParagraph"/>
        <w:numPr>
          <w:ilvl w:val="0"/>
          <w:numId w:val="1"/>
        </w:numPr>
        <w:jc w:val="left"/>
        <w:rPr>
          <w:rFonts w:cs="Arial"/>
          <w:b/>
          <w:bCs/>
          <w:sz w:val="22"/>
          <w:szCs w:val="22"/>
        </w:rPr>
      </w:pPr>
      <w:r w:rsidRPr="00795943">
        <w:rPr>
          <w:rFonts w:cs="Arial"/>
          <w:b/>
          <w:bCs/>
          <w:sz w:val="22"/>
          <w:szCs w:val="22"/>
        </w:rPr>
        <w:t>Changing the tenancy conditions</w:t>
      </w:r>
    </w:p>
    <w:p w14:paraId="46DF823C" w14:textId="77777777" w:rsidR="0046097F" w:rsidRPr="00795943" w:rsidRDefault="0046097F" w:rsidP="00A775B0">
      <w:pPr>
        <w:jc w:val="left"/>
        <w:rPr>
          <w:rFonts w:cs="Arial"/>
          <w:sz w:val="22"/>
          <w:szCs w:val="22"/>
        </w:rPr>
      </w:pPr>
    </w:p>
    <w:p w14:paraId="52EC6ED5" w14:textId="3E009536" w:rsidR="004B0652" w:rsidRPr="00795943" w:rsidRDefault="004B0652" w:rsidP="00A549AA">
      <w:pPr>
        <w:rPr>
          <w:rFonts w:cs="Arial"/>
          <w:sz w:val="22"/>
          <w:szCs w:val="22"/>
        </w:rPr>
      </w:pPr>
      <w:r w:rsidRPr="00795943">
        <w:rPr>
          <w:rFonts w:cs="Arial"/>
          <w:sz w:val="22"/>
          <w:szCs w:val="22"/>
        </w:rPr>
        <w:t xml:space="preserve">If </w:t>
      </w:r>
      <w:r w:rsidR="00104D3E">
        <w:rPr>
          <w:rFonts w:cs="Arial"/>
          <w:sz w:val="22"/>
          <w:szCs w:val="22"/>
        </w:rPr>
        <w:t>the Council</w:t>
      </w:r>
      <w:r w:rsidRPr="00795943">
        <w:rPr>
          <w:rFonts w:cs="Arial"/>
          <w:sz w:val="22"/>
          <w:szCs w:val="22"/>
        </w:rPr>
        <w:t xml:space="preserve"> wished to change </w:t>
      </w:r>
      <w:r w:rsidR="00104D3E">
        <w:rPr>
          <w:rFonts w:cs="Arial"/>
          <w:sz w:val="22"/>
          <w:szCs w:val="22"/>
        </w:rPr>
        <w:t>the</w:t>
      </w:r>
      <w:r w:rsidRPr="00795943">
        <w:rPr>
          <w:rFonts w:cs="Arial"/>
          <w:sz w:val="22"/>
          <w:szCs w:val="22"/>
        </w:rPr>
        <w:t xml:space="preserve"> tenancy conditions (apart from increasing rent / service charges) </w:t>
      </w:r>
      <w:r w:rsidR="002F68FA">
        <w:rPr>
          <w:rFonts w:cs="Arial"/>
          <w:sz w:val="22"/>
          <w:szCs w:val="22"/>
        </w:rPr>
        <w:t>it</w:t>
      </w:r>
      <w:r w:rsidRPr="00795943">
        <w:rPr>
          <w:rFonts w:cs="Arial"/>
          <w:sz w:val="22"/>
          <w:szCs w:val="22"/>
        </w:rPr>
        <w:t xml:space="preserve"> would need to seek permission from each individual flexible tenant. This differs from the mechanism used to vary tenancy conditions for lifetime tenants</w:t>
      </w:r>
      <w:r w:rsidR="002F68FA">
        <w:rPr>
          <w:rFonts w:cs="Arial"/>
          <w:sz w:val="22"/>
          <w:szCs w:val="22"/>
        </w:rPr>
        <w:t xml:space="preserve">, where they </w:t>
      </w:r>
      <w:r w:rsidRPr="00795943">
        <w:rPr>
          <w:rFonts w:cs="Arial"/>
          <w:sz w:val="22"/>
          <w:szCs w:val="22"/>
        </w:rPr>
        <w:t>must be consulted on any proposed change but permission is not required and therefore any revision to tenancy conditions supersedes existing conditions. This would not be the case for those with flexible tenancies who would retain the tenancy conditions provided at sign up.</w:t>
      </w:r>
    </w:p>
    <w:p w14:paraId="35F8594E" w14:textId="77777777" w:rsidR="004B0652" w:rsidRPr="00795943" w:rsidRDefault="004B0652" w:rsidP="00A775B0">
      <w:pPr>
        <w:autoSpaceDE w:val="0"/>
        <w:autoSpaceDN w:val="0"/>
        <w:adjustRightInd w:val="0"/>
        <w:jc w:val="left"/>
        <w:rPr>
          <w:rFonts w:cs="Arial"/>
          <w:sz w:val="22"/>
          <w:szCs w:val="22"/>
        </w:rPr>
      </w:pPr>
    </w:p>
    <w:p w14:paraId="5CC1448A" w14:textId="70C8FCD5" w:rsidR="001F299C" w:rsidRPr="00795943" w:rsidRDefault="001F299C" w:rsidP="0046097F">
      <w:pPr>
        <w:pStyle w:val="ListParagraph"/>
        <w:numPr>
          <w:ilvl w:val="0"/>
          <w:numId w:val="1"/>
        </w:numPr>
        <w:rPr>
          <w:rFonts w:cs="Arial"/>
          <w:b/>
          <w:bCs/>
          <w:sz w:val="22"/>
          <w:szCs w:val="22"/>
          <w:shd w:val="clear" w:color="auto" w:fill="FAFAFA"/>
        </w:rPr>
      </w:pPr>
      <w:r w:rsidRPr="00795943">
        <w:rPr>
          <w:rFonts w:cs="Arial"/>
          <w:b/>
          <w:bCs/>
          <w:sz w:val="22"/>
          <w:szCs w:val="22"/>
          <w:shd w:val="clear" w:color="auto" w:fill="FAFAFA"/>
        </w:rPr>
        <w:t>Section 137A Notice</w:t>
      </w:r>
    </w:p>
    <w:p w14:paraId="7D6F42A3" w14:textId="44245B6C" w:rsidR="001F299C" w:rsidRPr="00795943" w:rsidRDefault="001F299C" w:rsidP="00A549AA">
      <w:pPr>
        <w:rPr>
          <w:rFonts w:cs="Arial"/>
          <w:sz w:val="22"/>
          <w:szCs w:val="22"/>
          <w:shd w:val="clear" w:color="auto" w:fill="FAFAFA"/>
        </w:rPr>
      </w:pPr>
      <w:r w:rsidRPr="00795943">
        <w:rPr>
          <w:rFonts w:cs="Arial"/>
          <w:sz w:val="22"/>
          <w:szCs w:val="22"/>
          <w:shd w:val="clear" w:color="auto" w:fill="FAFAFA"/>
        </w:rPr>
        <w:lastRenderedPageBreak/>
        <w:t xml:space="preserve">As Harrow </w:t>
      </w:r>
      <w:r w:rsidR="00E13735">
        <w:rPr>
          <w:rFonts w:cs="Arial"/>
          <w:sz w:val="22"/>
          <w:szCs w:val="22"/>
          <w:shd w:val="clear" w:color="auto" w:fill="FAFAFA"/>
        </w:rPr>
        <w:t>C</w:t>
      </w:r>
      <w:r w:rsidRPr="00795943">
        <w:rPr>
          <w:rFonts w:cs="Arial"/>
          <w:sz w:val="22"/>
          <w:szCs w:val="22"/>
          <w:shd w:val="clear" w:color="auto" w:fill="FAFAFA"/>
        </w:rPr>
        <w:t xml:space="preserve">ouncil offers </w:t>
      </w:r>
      <w:r w:rsidR="00E13735">
        <w:rPr>
          <w:rFonts w:cs="Arial"/>
          <w:sz w:val="22"/>
          <w:szCs w:val="22"/>
          <w:shd w:val="clear" w:color="auto" w:fill="FAFAFA"/>
        </w:rPr>
        <w:t>i</w:t>
      </w:r>
      <w:r w:rsidRPr="00795943">
        <w:rPr>
          <w:rFonts w:cs="Arial"/>
          <w:sz w:val="22"/>
          <w:szCs w:val="22"/>
          <w:shd w:val="clear" w:color="auto" w:fill="FAFAFA"/>
        </w:rPr>
        <w:t xml:space="preserve">ntroductory tenancies followed by a flexible tenancy to new social housing tenants, the law states that a section 137A Notice </w:t>
      </w:r>
      <w:r w:rsidR="00E13735">
        <w:rPr>
          <w:rFonts w:cs="Arial"/>
          <w:sz w:val="22"/>
          <w:szCs w:val="22"/>
          <w:shd w:val="clear" w:color="auto" w:fill="FAFAFA"/>
        </w:rPr>
        <w:t xml:space="preserve">must be served </w:t>
      </w:r>
      <w:r w:rsidRPr="00795943">
        <w:rPr>
          <w:rFonts w:cs="Arial"/>
          <w:sz w:val="22"/>
          <w:szCs w:val="22"/>
          <w:shd w:val="clear" w:color="auto" w:fill="FAFAFA"/>
        </w:rPr>
        <w:t xml:space="preserve">notifying </w:t>
      </w:r>
      <w:r w:rsidR="00F64AB0">
        <w:rPr>
          <w:rFonts w:cs="Arial"/>
          <w:sz w:val="22"/>
          <w:szCs w:val="22"/>
          <w:shd w:val="clear" w:color="auto" w:fill="FAFAFA"/>
        </w:rPr>
        <w:t xml:space="preserve">the tenant </w:t>
      </w:r>
      <w:r w:rsidRPr="00795943">
        <w:rPr>
          <w:rFonts w:cs="Arial"/>
          <w:sz w:val="22"/>
          <w:szCs w:val="22"/>
          <w:shd w:val="clear" w:color="auto" w:fill="FAFAFA"/>
        </w:rPr>
        <w:t xml:space="preserve">of the type of tenancy they will get at the end of the successful introductory tenancy.  The notice must set out that a tenant has the right to request a review of the type of tenancy they will be offered. This information should be provided to tenants in advance of signing the tenancy agreement.  </w:t>
      </w:r>
    </w:p>
    <w:p w14:paraId="305C659F" w14:textId="77777777" w:rsidR="001F299C" w:rsidRPr="00795943" w:rsidRDefault="001F299C" w:rsidP="00A549AA">
      <w:pPr>
        <w:rPr>
          <w:rFonts w:cs="Arial"/>
          <w:sz w:val="22"/>
          <w:szCs w:val="22"/>
          <w:shd w:val="clear" w:color="auto" w:fill="FAFAFA"/>
        </w:rPr>
      </w:pPr>
    </w:p>
    <w:p w14:paraId="63B348B8" w14:textId="51F36243" w:rsidR="001F299C" w:rsidRPr="00795943" w:rsidRDefault="001F299C" w:rsidP="00A549AA">
      <w:pPr>
        <w:rPr>
          <w:rFonts w:cs="Arial"/>
          <w:sz w:val="22"/>
          <w:szCs w:val="22"/>
          <w:shd w:val="clear" w:color="auto" w:fill="FAFAFA"/>
        </w:rPr>
      </w:pPr>
      <w:r w:rsidRPr="00795943">
        <w:rPr>
          <w:rFonts w:cs="Arial"/>
          <w:sz w:val="22"/>
          <w:szCs w:val="22"/>
          <w:shd w:val="clear" w:color="auto" w:fill="FAFAFA"/>
        </w:rPr>
        <w:t xml:space="preserve">In practice as there is frequently only a couple of days between a tenant viewing a property and signing the tenancy </w:t>
      </w:r>
      <w:r w:rsidR="00F178D8">
        <w:rPr>
          <w:rFonts w:cs="Arial"/>
          <w:sz w:val="22"/>
          <w:szCs w:val="22"/>
          <w:shd w:val="clear" w:color="auto" w:fill="FAFAFA"/>
        </w:rPr>
        <w:t xml:space="preserve">agreement </w:t>
      </w:r>
      <w:r w:rsidRPr="00795943">
        <w:rPr>
          <w:rFonts w:cs="Arial"/>
          <w:sz w:val="22"/>
          <w:szCs w:val="22"/>
          <w:shd w:val="clear" w:color="auto" w:fill="FAFAFA"/>
        </w:rPr>
        <w:t>there is insufficient time to provide the required information prior to the sign up. Delaying the sign up is not a viable option and will result in additional void time and loss of rental income</w:t>
      </w:r>
      <w:r w:rsidR="00F178D8">
        <w:rPr>
          <w:rFonts w:cs="Arial"/>
          <w:sz w:val="22"/>
          <w:szCs w:val="22"/>
          <w:shd w:val="clear" w:color="auto" w:fill="FAFAFA"/>
        </w:rPr>
        <w:t xml:space="preserve"> to the Housing Revenue Account</w:t>
      </w:r>
      <w:r w:rsidRPr="00795943">
        <w:rPr>
          <w:rFonts w:cs="Arial"/>
          <w:sz w:val="22"/>
          <w:szCs w:val="22"/>
          <w:shd w:val="clear" w:color="auto" w:fill="FAFAFA"/>
        </w:rPr>
        <w:t>.</w:t>
      </w:r>
    </w:p>
    <w:p w14:paraId="6FF9B161" w14:textId="77777777" w:rsidR="001F299C" w:rsidRPr="00795943" w:rsidRDefault="001F299C" w:rsidP="00A549AA">
      <w:pPr>
        <w:rPr>
          <w:rFonts w:cs="Arial"/>
          <w:sz w:val="22"/>
          <w:szCs w:val="22"/>
          <w:shd w:val="clear" w:color="auto" w:fill="FAFAFA"/>
        </w:rPr>
      </w:pPr>
    </w:p>
    <w:p w14:paraId="5916BDB7" w14:textId="46BABA85" w:rsidR="001F299C" w:rsidRPr="00795943" w:rsidRDefault="001F299C" w:rsidP="00A549AA">
      <w:pPr>
        <w:rPr>
          <w:rFonts w:cs="Arial"/>
          <w:sz w:val="22"/>
          <w:szCs w:val="22"/>
          <w:shd w:val="clear" w:color="auto" w:fill="FAFAFA"/>
        </w:rPr>
      </w:pPr>
      <w:r w:rsidRPr="00795943">
        <w:rPr>
          <w:rFonts w:cs="Arial"/>
          <w:sz w:val="22"/>
          <w:szCs w:val="22"/>
          <w:shd w:val="clear" w:color="auto" w:fill="FAFAFA"/>
        </w:rPr>
        <w:t xml:space="preserve">Issuing this </w:t>
      </w:r>
      <w:r w:rsidR="0069676F" w:rsidRPr="00795943">
        <w:rPr>
          <w:rFonts w:cs="Arial"/>
          <w:sz w:val="22"/>
          <w:szCs w:val="22"/>
          <w:shd w:val="clear" w:color="auto" w:fill="FAFAFA"/>
        </w:rPr>
        <w:t xml:space="preserve">section 137A </w:t>
      </w:r>
      <w:r w:rsidRPr="00795943">
        <w:rPr>
          <w:rFonts w:cs="Arial"/>
          <w:sz w:val="22"/>
          <w:szCs w:val="22"/>
          <w:shd w:val="clear" w:color="auto" w:fill="FAFAFA"/>
        </w:rPr>
        <w:t>Notice to all tenants invited to view a property w</w:t>
      </w:r>
      <w:r w:rsidR="0069676F">
        <w:rPr>
          <w:rFonts w:cs="Arial"/>
          <w:sz w:val="22"/>
          <w:szCs w:val="22"/>
          <w:shd w:val="clear" w:color="auto" w:fill="FAFAFA"/>
        </w:rPr>
        <w:t>ould</w:t>
      </w:r>
      <w:r w:rsidRPr="00795943">
        <w:rPr>
          <w:rFonts w:cs="Arial"/>
          <w:sz w:val="22"/>
          <w:szCs w:val="22"/>
          <w:shd w:val="clear" w:color="auto" w:fill="FAFAFA"/>
        </w:rPr>
        <w:t xml:space="preserve"> cause confusion to those tenants where it is not relevant and tenants for whom the </w:t>
      </w:r>
      <w:r w:rsidR="00751F73" w:rsidRPr="00795943">
        <w:rPr>
          <w:rFonts w:cs="Arial"/>
          <w:sz w:val="22"/>
          <w:szCs w:val="22"/>
          <w:shd w:val="clear" w:color="auto" w:fill="FAFAFA"/>
        </w:rPr>
        <w:t xml:space="preserve">section 137A </w:t>
      </w:r>
      <w:r w:rsidRPr="00795943">
        <w:rPr>
          <w:rFonts w:cs="Arial"/>
          <w:sz w:val="22"/>
          <w:szCs w:val="22"/>
          <w:shd w:val="clear" w:color="auto" w:fill="FAFAFA"/>
        </w:rPr>
        <w:t>Notice is relevant may not appreciate this so serving the Notice on the new tenant is the safest option.</w:t>
      </w:r>
    </w:p>
    <w:p w14:paraId="5878E979" w14:textId="77777777" w:rsidR="001F299C" w:rsidRPr="00795943" w:rsidRDefault="001F299C" w:rsidP="00A549AA">
      <w:pPr>
        <w:rPr>
          <w:rFonts w:cs="Arial"/>
          <w:sz w:val="22"/>
          <w:szCs w:val="22"/>
          <w:shd w:val="clear" w:color="auto" w:fill="FAFAFA"/>
        </w:rPr>
      </w:pPr>
    </w:p>
    <w:p w14:paraId="31A1B88D" w14:textId="64EA0118" w:rsidR="001F299C" w:rsidRPr="00795943" w:rsidRDefault="001F299C" w:rsidP="00A549AA">
      <w:pPr>
        <w:rPr>
          <w:rFonts w:cs="Arial"/>
          <w:sz w:val="22"/>
          <w:szCs w:val="22"/>
          <w:shd w:val="clear" w:color="auto" w:fill="FAFAFA"/>
        </w:rPr>
      </w:pPr>
      <w:r w:rsidRPr="00795943">
        <w:rPr>
          <w:rFonts w:cs="Arial"/>
          <w:sz w:val="22"/>
          <w:szCs w:val="22"/>
          <w:shd w:val="clear" w:color="auto" w:fill="FAFAFA"/>
        </w:rPr>
        <w:t xml:space="preserve">As a practical measure Harrow Council has taken the decision to provide the section 137A Notice as the first part of the tenancy sign up process. Any tenant wishing to challenge the tenure they have been awarded is still able to do so and has 21 days from the date of the </w:t>
      </w:r>
      <w:r w:rsidR="003034C5" w:rsidRPr="00795943">
        <w:rPr>
          <w:rFonts w:cs="Arial"/>
          <w:sz w:val="22"/>
          <w:szCs w:val="22"/>
          <w:shd w:val="clear" w:color="auto" w:fill="FAFAFA"/>
        </w:rPr>
        <w:t xml:space="preserve">section 137A </w:t>
      </w:r>
      <w:r w:rsidRPr="00795943">
        <w:rPr>
          <w:rFonts w:cs="Arial"/>
          <w:sz w:val="22"/>
          <w:szCs w:val="22"/>
          <w:shd w:val="clear" w:color="auto" w:fill="FAFAFA"/>
        </w:rPr>
        <w:t>Notice so to do. If it is found that the wrong tenure has been awarded, this will be correct</w:t>
      </w:r>
      <w:r w:rsidR="00A16585">
        <w:rPr>
          <w:rFonts w:cs="Arial"/>
          <w:sz w:val="22"/>
          <w:szCs w:val="22"/>
          <w:shd w:val="clear" w:color="auto" w:fill="FAFAFA"/>
        </w:rPr>
        <w:t>ed</w:t>
      </w:r>
      <w:r w:rsidRPr="00795943">
        <w:rPr>
          <w:rFonts w:cs="Arial"/>
          <w:sz w:val="22"/>
          <w:szCs w:val="22"/>
          <w:shd w:val="clear" w:color="auto" w:fill="FAFAFA"/>
        </w:rPr>
        <w:t xml:space="preserve"> with the award of a tenancy with the correct tenancy type.</w:t>
      </w:r>
    </w:p>
    <w:p w14:paraId="2431BAC9" w14:textId="77777777" w:rsidR="001F299C" w:rsidRPr="00795943" w:rsidRDefault="001F299C" w:rsidP="00A549AA">
      <w:pPr>
        <w:rPr>
          <w:rFonts w:cs="Arial"/>
          <w:sz w:val="22"/>
          <w:szCs w:val="22"/>
        </w:rPr>
      </w:pPr>
    </w:p>
    <w:p w14:paraId="22D78863" w14:textId="4784B5AB" w:rsidR="001F299C" w:rsidRPr="00795943" w:rsidRDefault="00A16585" w:rsidP="00A549AA">
      <w:pPr>
        <w:rPr>
          <w:rFonts w:cs="Arial"/>
          <w:sz w:val="22"/>
          <w:szCs w:val="22"/>
        </w:rPr>
      </w:pPr>
      <w:r>
        <w:rPr>
          <w:rFonts w:cs="Arial"/>
          <w:sz w:val="22"/>
          <w:szCs w:val="22"/>
        </w:rPr>
        <w:t>Harrow Council’s Housing Services’</w:t>
      </w:r>
      <w:r w:rsidR="001F299C" w:rsidRPr="00795943">
        <w:rPr>
          <w:rFonts w:cs="Arial"/>
          <w:sz w:val="22"/>
          <w:szCs w:val="22"/>
        </w:rPr>
        <w:t xml:space="preserve"> procedure states that providing the section137A Notice and the tenancy conditions must be the first act of the sign up meeting to ensure </w:t>
      </w:r>
      <w:r w:rsidR="004D55C2">
        <w:rPr>
          <w:rFonts w:cs="Arial"/>
          <w:sz w:val="22"/>
          <w:szCs w:val="22"/>
        </w:rPr>
        <w:t xml:space="preserve">compliance with </w:t>
      </w:r>
      <w:r w:rsidR="001F299C" w:rsidRPr="00795943">
        <w:rPr>
          <w:rFonts w:cs="Arial"/>
          <w:sz w:val="22"/>
          <w:szCs w:val="22"/>
        </w:rPr>
        <w:t xml:space="preserve">this legislation. However, it is always open to challenge by a tenant to say that </w:t>
      </w:r>
      <w:r w:rsidR="00910867">
        <w:rPr>
          <w:rFonts w:cs="Arial"/>
          <w:sz w:val="22"/>
          <w:szCs w:val="22"/>
        </w:rPr>
        <w:t xml:space="preserve">officers </w:t>
      </w:r>
      <w:r w:rsidR="001F299C" w:rsidRPr="00795943">
        <w:rPr>
          <w:rFonts w:cs="Arial"/>
          <w:sz w:val="22"/>
          <w:szCs w:val="22"/>
        </w:rPr>
        <w:t xml:space="preserve">did not comply with </w:t>
      </w:r>
      <w:r w:rsidR="00910867">
        <w:rPr>
          <w:rFonts w:cs="Arial"/>
          <w:sz w:val="22"/>
          <w:szCs w:val="22"/>
        </w:rPr>
        <w:t>the</w:t>
      </w:r>
      <w:r w:rsidR="001F299C" w:rsidRPr="00795943">
        <w:rPr>
          <w:rFonts w:cs="Arial"/>
          <w:sz w:val="22"/>
          <w:szCs w:val="22"/>
        </w:rPr>
        <w:t xml:space="preserve"> written procedure and thereby bringing the existence of a flexible tenancy into doubt.</w:t>
      </w:r>
    </w:p>
    <w:p w14:paraId="41980FDD" w14:textId="77777777" w:rsidR="001F299C" w:rsidRPr="00795943" w:rsidRDefault="001F299C" w:rsidP="00A549AA">
      <w:pPr>
        <w:rPr>
          <w:rFonts w:cs="Arial"/>
          <w:sz w:val="22"/>
          <w:szCs w:val="22"/>
        </w:rPr>
      </w:pPr>
    </w:p>
    <w:p w14:paraId="01A55938" w14:textId="21D729DB" w:rsidR="001F299C" w:rsidRPr="00795943" w:rsidRDefault="001F299C" w:rsidP="00A549AA">
      <w:pPr>
        <w:rPr>
          <w:rFonts w:cs="Arial"/>
          <w:sz w:val="22"/>
          <w:szCs w:val="22"/>
        </w:rPr>
      </w:pPr>
      <w:r w:rsidRPr="00795943">
        <w:rPr>
          <w:rFonts w:cs="Arial"/>
          <w:sz w:val="22"/>
          <w:szCs w:val="22"/>
        </w:rPr>
        <w:t xml:space="preserve">This type of </w:t>
      </w:r>
      <w:r w:rsidR="00181911" w:rsidRPr="00795943">
        <w:rPr>
          <w:rFonts w:cs="Arial"/>
          <w:sz w:val="22"/>
          <w:szCs w:val="22"/>
          <w:shd w:val="clear" w:color="auto" w:fill="FAFAFA"/>
        </w:rPr>
        <w:t xml:space="preserve">section 137A </w:t>
      </w:r>
      <w:r w:rsidRPr="00795943">
        <w:rPr>
          <w:rFonts w:cs="Arial"/>
          <w:sz w:val="22"/>
          <w:szCs w:val="22"/>
        </w:rPr>
        <w:t xml:space="preserve">Notice is not required for </w:t>
      </w:r>
      <w:r w:rsidR="00181911">
        <w:rPr>
          <w:rFonts w:cs="Arial"/>
          <w:sz w:val="22"/>
          <w:szCs w:val="22"/>
        </w:rPr>
        <w:t>i</w:t>
      </w:r>
      <w:r w:rsidRPr="00795943">
        <w:rPr>
          <w:rFonts w:cs="Arial"/>
          <w:sz w:val="22"/>
          <w:szCs w:val="22"/>
        </w:rPr>
        <w:t>ntroductory tenancies that are to be followed by a secure lifetime tenancy.</w:t>
      </w:r>
    </w:p>
    <w:p w14:paraId="0B5A5C0C" w14:textId="6AB7C9B9" w:rsidR="004B0652" w:rsidRPr="00795943" w:rsidRDefault="004B0652" w:rsidP="00A549AA">
      <w:pPr>
        <w:rPr>
          <w:rFonts w:cs="Arial"/>
          <w:sz w:val="22"/>
          <w:szCs w:val="22"/>
        </w:rPr>
      </w:pPr>
    </w:p>
    <w:sectPr w:rsidR="004B0652" w:rsidRPr="00795943" w:rsidSect="003E58E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EF58" w14:textId="77777777" w:rsidR="007C1DDD" w:rsidRDefault="007C1DDD" w:rsidP="003A6352">
      <w:r>
        <w:separator/>
      </w:r>
    </w:p>
  </w:endnote>
  <w:endnote w:type="continuationSeparator" w:id="0">
    <w:p w14:paraId="36610EA0" w14:textId="77777777" w:rsidR="007C1DDD" w:rsidRDefault="007C1DDD" w:rsidP="003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A030" w14:textId="77777777" w:rsidR="007C1DDD" w:rsidRDefault="007C1DDD" w:rsidP="003A6352">
      <w:r>
        <w:separator/>
      </w:r>
    </w:p>
  </w:footnote>
  <w:footnote w:type="continuationSeparator" w:id="0">
    <w:p w14:paraId="76ADA091" w14:textId="77777777" w:rsidR="007C1DDD" w:rsidRDefault="007C1DDD" w:rsidP="003A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089D"/>
    <w:multiLevelType w:val="hybridMultilevel"/>
    <w:tmpl w:val="CC94F4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352"/>
    <w:rsid w:val="00056C2B"/>
    <w:rsid w:val="0006658A"/>
    <w:rsid w:val="000744E4"/>
    <w:rsid w:val="000814A9"/>
    <w:rsid w:val="0008674E"/>
    <w:rsid w:val="000A7193"/>
    <w:rsid w:val="000C39FF"/>
    <w:rsid w:val="000C5F6D"/>
    <w:rsid w:val="000D603B"/>
    <w:rsid w:val="000E57CC"/>
    <w:rsid w:val="00104D3E"/>
    <w:rsid w:val="0010690E"/>
    <w:rsid w:val="001128F6"/>
    <w:rsid w:val="00112ADB"/>
    <w:rsid w:val="001248B5"/>
    <w:rsid w:val="00143F36"/>
    <w:rsid w:val="00155B52"/>
    <w:rsid w:val="00180882"/>
    <w:rsid w:val="00181911"/>
    <w:rsid w:val="00191CD8"/>
    <w:rsid w:val="001956B6"/>
    <w:rsid w:val="001A13D2"/>
    <w:rsid w:val="001A6427"/>
    <w:rsid w:val="001B05BF"/>
    <w:rsid w:val="001B3976"/>
    <w:rsid w:val="001C4DD1"/>
    <w:rsid w:val="001D0AAD"/>
    <w:rsid w:val="001D7FC5"/>
    <w:rsid w:val="001E15CF"/>
    <w:rsid w:val="001F299C"/>
    <w:rsid w:val="00247AE9"/>
    <w:rsid w:val="00252E9C"/>
    <w:rsid w:val="00257BB2"/>
    <w:rsid w:val="00266C2E"/>
    <w:rsid w:val="002760E5"/>
    <w:rsid w:val="0028388E"/>
    <w:rsid w:val="002903A4"/>
    <w:rsid w:val="002B1BEE"/>
    <w:rsid w:val="002F0640"/>
    <w:rsid w:val="002F3D77"/>
    <w:rsid w:val="002F68FA"/>
    <w:rsid w:val="003034C5"/>
    <w:rsid w:val="00307414"/>
    <w:rsid w:val="00307AB5"/>
    <w:rsid w:val="003329B4"/>
    <w:rsid w:val="0033745D"/>
    <w:rsid w:val="00347F39"/>
    <w:rsid w:val="003553EA"/>
    <w:rsid w:val="0038056E"/>
    <w:rsid w:val="00394372"/>
    <w:rsid w:val="003A5652"/>
    <w:rsid w:val="003A6352"/>
    <w:rsid w:val="003B2157"/>
    <w:rsid w:val="003B2554"/>
    <w:rsid w:val="003E4378"/>
    <w:rsid w:val="003E58E6"/>
    <w:rsid w:val="003E6759"/>
    <w:rsid w:val="003F2782"/>
    <w:rsid w:val="00414B50"/>
    <w:rsid w:val="00417694"/>
    <w:rsid w:val="0043379D"/>
    <w:rsid w:val="0045328A"/>
    <w:rsid w:val="004574B8"/>
    <w:rsid w:val="0046097F"/>
    <w:rsid w:val="00477C34"/>
    <w:rsid w:val="00481BD3"/>
    <w:rsid w:val="00482085"/>
    <w:rsid w:val="0048564E"/>
    <w:rsid w:val="00490F23"/>
    <w:rsid w:val="004A1F62"/>
    <w:rsid w:val="004A4EA8"/>
    <w:rsid w:val="004B0652"/>
    <w:rsid w:val="004C090D"/>
    <w:rsid w:val="004D07B6"/>
    <w:rsid w:val="004D1557"/>
    <w:rsid w:val="004D35FC"/>
    <w:rsid w:val="004D55C2"/>
    <w:rsid w:val="004F2432"/>
    <w:rsid w:val="00500C87"/>
    <w:rsid w:val="005145E3"/>
    <w:rsid w:val="005331C6"/>
    <w:rsid w:val="00536AD9"/>
    <w:rsid w:val="00551950"/>
    <w:rsid w:val="00557369"/>
    <w:rsid w:val="00573F27"/>
    <w:rsid w:val="00591A48"/>
    <w:rsid w:val="005B50B8"/>
    <w:rsid w:val="005C2A92"/>
    <w:rsid w:val="005E0D91"/>
    <w:rsid w:val="00614321"/>
    <w:rsid w:val="00620E7D"/>
    <w:rsid w:val="006238BE"/>
    <w:rsid w:val="00623E99"/>
    <w:rsid w:val="00627114"/>
    <w:rsid w:val="00632EBE"/>
    <w:rsid w:val="006543B1"/>
    <w:rsid w:val="00654566"/>
    <w:rsid w:val="00662332"/>
    <w:rsid w:val="0066267B"/>
    <w:rsid w:val="00692673"/>
    <w:rsid w:val="0069676F"/>
    <w:rsid w:val="006B62B3"/>
    <w:rsid w:val="006C4D95"/>
    <w:rsid w:val="00706460"/>
    <w:rsid w:val="00751F73"/>
    <w:rsid w:val="007618F7"/>
    <w:rsid w:val="007646DC"/>
    <w:rsid w:val="00766DAE"/>
    <w:rsid w:val="00795943"/>
    <w:rsid w:val="007A035D"/>
    <w:rsid w:val="007B04BE"/>
    <w:rsid w:val="007B456A"/>
    <w:rsid w:val="007C1DDD"/>
    <w:rsid w:val="007C4C38"/>
    <w:rsid w:val="007E234B"/>
    <w:rsid w:val="007F1603"/>
    <w:rsid w:val="00800EE6"/>
    <w:rsid w:val="00832DAA"/>
    <w:rsid w:val="00836217"/>
    <w:rsid w:val="00861677"/>
    <w:rsid w:val="008737F1"/>
    <w:rsid w:val="00876D64"/>
    <w:rsid w:val="00894C08"/>
    <w:rsid w:val="008C1F1E"/>
    <w:rsid w:val="008C23E1"/>
    <w:rsid w:val="008E2E91"/>
    <w:rsid w:val="008E6E28"/>
    <w:rsid w:val="008F460B"/>
    <w:rsid w:val="00904255"/>
    <w:rsid w:val="0090780C"/>
    <w:rsid w:val="00910867"/>
    <w:rsid w:val="009228D8"/>
    <w:rsid w:val="00925851"/>
    <w:rsid w:val="0093515F"/>
    <w:rsid w:val="00941859"/>
    <w:rsid w:val="009442B0"/>
    <w:rsid w:val="00944B7B"/>
    <w:rsid w:val="00945EB5"/>
    <w:rsid w:val="00945FF8"/>
    <w:rsid w:val="0095563F"/>
    <w:rsid w:val="00960F4A"/>
    <w:rsid w:val="0097256D"/>
    <w:rsid w:val="009731AC"/>
    <w:rsid w:val="009849EE"/>
    <w:rsid w:val="00990881"/>
    <w:rsid w:val="009C0829"/>
    <w:rsid w:val="009C5864"/>
    <w:rsid w:val="009C61E8"/>
    <w:rsid w:val="009D2BBD"/>
    <w:rsid w:val="009D46B8"/>
    <w:rsid w:val="009E0F35"/>
    <w:rsid w:val="009F5A5B"/>
    <w:rsid w:val="00A0697B"/>
    <w:rsid w:val="00A16126"/>
    <w:rsid w:val="00A16585"/>
    <w:rsid w:val="00A3208B"/>
    <w:rsid w:val="00A549AA"/>
    <w:rsid w:val="00A775B0"/>
    <w:rsid w:val="00A97AA7"/>
    <w:rsid w:val="00AB1B14"/>
    <w:rsid w:val="00AC1543"/>
    <w:rsid w:val="00AC404F"/>
    <w:rsid w:val="00AC5DE7"/>
    <w:rsid w:val="00AC7B43"/>
    <w:rsid w:val="00AD3D07"/>
    <w:rsid w:val="00AD4AEC"/>
    <w:rsid w:val="00AE1238"/>
    <w:rsid w:val="00AE6F53"/>
    <w:rsid w:val="00AE7B9D"/>
    <w:rsid w:val="00AF3610"/>
    <w:rsid w:val="00B07980"/>
    <w:rsid w:val="00B23807"/>
    <w:rsid w:val="00B24AB0"/>
    <w:rsid w:val="00B57C7A"/>
    <w:rsid w:val="00B62B86"/>
    <w:rsid w:val="00B65F26"/>
    <w:rsid w:val="00B675C3"/>
    <w:rsid w:val="00B70090"/>
    <w:rsid w:val="00B72876"/>
    <w:rsid w:val="00B74C09"/>
    <w:rsid w:val="00BB47D0"/>
    <w:rsid w:val="00BB5D22"/>
    <w:rsid w:val="00BB6180"/>
    <w:rsid w:val="00BD0134"/>
    <w:rsid w:val="00BD0562"/>
    <w:rsid w:val="00BD477A"/>
    <w:rsid w:val="00BD4B16"/>
    <w:rsid w:val="00BE1BF2"/>
    <w:rsid w:val="00BE67F6"/>
    <w:rsid w:val="00BE7330"/>
    <w:rsid w:val="00BF050F"/>
    <w:rsid w:val="00BF162D"/>
    <w:rsid w:val="00C07D3F"/>
    <w:rsid w:val="00C3610C"/>
    <w:rsid w:val="00C4177D"/>
    <w:rsid w:val="00C456C6"/>
    <w:rsid w:val="00C706C6"/>
    <w:rsid w:val="00CB6A05"/>
    <w:rsid w:val="00CC4A6B"/>
    <w:rsid w:val="00CD6015"/>
    <w:rsid w:val="00D03737"/>
    <w:rsid w:val="00D17620"/>
    <w:rsid w:val="00D20801"/>
    <w:rsid w:val="00D324F5"/>
    <w:rsid w:val="00D44E13"/>
    <w:rsid w:val="00D54E3E"/>
    <w:rsid w:val="00D81DD0"/>
    <w:rsid w:val="00D8663A"/>
    <w:rsid w:val="00D91CAF"/>
    <w:rsid w:val="00DB147A"/>
    <w:rsid w:val="00DD155A"/>
    <w:rsid w:val="00DD3F45"/>
    <w:rsid w:val="00E01ABF"/>
    <w:rsid w:val="00E0610B"/>
    <w:rsid w:val="00E13735"/>
    <w:rsid w:val="00E30971"/>
    <w:rsid w:val="00E3544D"/>
    <w:rsid w:val="00E4222E"/>
    <w:rsid w:val="00E4337B"/>
    <w:rsid w:val="00E55DDE"/>
    <w:rsid w:val="00E56519"/>
    <w:rsid w:val="00E57CA0"/>
    <w:rsid w:val="00E61289"/>
    <w:rsid w:val="00E759D2"/>
    <w:rsid w:val="00E77B82"/>
    <w:rsid w:val="00E80035"/>
    <w:rsid w:val="00EA1528"/>
    <w:rsid w:val="00EC7C5E"/>
    <w:rsid w:val="00EC7EE3"/>
    <w:rsid w:val="00EE1C55"/>
    <w:rsid w:val="00EE4553"/>
    <w:rsid w:val="00EF697F"/>
    <w:rsid w:val="00F11FAE"/>
    <w:rsid w:val="00F178D8"/>
    <w:rsid w:val="00F271E3"/>
    <w:rsid w:val="00F3072B"/>
    <w:rsid w:val="00F31C3A"/>
    <w:rsid w:val="00F3596E"/>
    <w:rsid w:val="00F424C1"/>
    <w:rsid w:val="00F52F84"/>
    <w:rsid w:val="00F6314C"/>
    <w:rsid w:val="00F64AB0"/>
    <w:rsid w:val="00FD47DA"/>
    <w:rsid w:val="00FD595F"/>
    <w:rsid w:val="00FE5E1E"/>
    <w:rsid w:val="00FE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32FD"/>
  <w15:docId w15:val="{ACB8A63C-A9AD-4C55-8602-09DEE43F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52"/>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3A6352"/>
    <w:pPr>
      <w:keepNext/>
      <w:jc w:val="left"/>
      <w:outlineLvl w:val="0"/>
    </w:pPr>
    <w:rPr>
      <w:rFonts w:cs="Arial"/>
      <w:b/>
      <w:bCs/>
      <w:color w:val="004884"/>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352"/>
    <w:rPr>
      <w:rFonts w:ascii="Arial" w:eastAsia="Times New Roman" w:hAnsi="Arial" w:cs="Arial"/>
      <w:b/>
      <w:bCs/>
      <w:color w:val="004884"/>
      <w:kern w:val="32"/>
      <w:sz w:val="24"/>
      <w:szCs w:val="32"/>
    </w:rPr>
  </w:style>
  <w:style w:type="table" w:styleId="TableGrid">
    <w:name w:val="Table Grid"/>
    <w:basedOn w:val="TableNormal"/>
    <w:rsid w:val="003A6352"/>
    <w:pPr>
      <w:spacing w:before="120" w:after="120" w:line="240" w:lineRule="auto"/>
      <w:jc w:val="both"/>
    </w:pPr>
    <w:rPr>
      <w:rFonts w:ascii="Arial" w:eastAsia="Times New Roman" w:hAnsi="Arial" w:cs="Times New Roman"/>
      <w:sz w:val="24"/>
      <w:szCs w:val="20"/>
      <w:lang w:eastAsia="en-GB"/>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shd w:val="clear" w:color="auto" w:fill="E63329"/>
      </w:tcPr>
    </w:tblStylePr>
  </w:style>
  <w:style w:type="paragraph" w:styleId="FootnoteText">
    <w:name w:val="footnote text"/>
    <w:basedOn w:val="Normal"/>
    <w:link w:val="FootnoteTextChar"/>
    <w:semiHidden/>
    <w:unhideWhenUsed/>
    <w:rsid w:val="003A6352"/>
    <w:rPr>
      <w:sz w:val="20"/>
      <w:szCs w:val="20"/>
    </w:rPr>
  </w:style>
  <w:style w:type="character" w:customStyle="1" w:styleId="FootnoteTextChar">
    <w:name w:val="Footnote Text Char"/>
    <w:basedOn w:val="DefaultParagraphFont"/>
    <w:link w:val="FootnoteText"/>
    <w:semiHidden/>
    <w:rsid w:val="003A6352"/>
    <w:rPr>
      <w:rFonts w:ascii="Arial" w:eastAsia="Times New Roman" w:hAnsi="Arial" w:cs="Times New Roman"/>
      <w:sz w:val="20"/>
      <w:szCs w:val="20"/>
    </w:rPr>
  </w:style>
  <w:style w:type="character" w:styleId="FootnoteReference">
    <w:name w:val="footnote reference"/>
    <w:basedOn w:val="DefaultParagraphFont"/>
    <w:semiHidden/>
    <w:unhideWhenUsed/>
    <w:rsid w:val="003A6352"/>
    <w:rPr>
      <w:vertAlign w:val="superscript"/>
    </w:rPr>
  </w:style>
  <w:style w:type="paragraph" w:styleId="NormalWeb">
    <w:name w:val="Normal (Web)"/>
    <w:basedOn w:val="Normal"/>
    <w:uiPriority w:val="99"/>
    <w:semiHidden/>
    <w:unhideWhenUsed/>
    <w:rsid w:val="00FD47DA"/>
    <w:pPr>
      <w:spacing w:before="100" w:beforeAutospacing="1" w:after="100" w:afterAutospacing="1"/>
      <w:jc w:val="left"/>
    </w:pPr>
    <w:rPr>
      <w:rFonts w:ascii="Times New Roman" w:hAnsi="Times New Roman"/>
      <w:lang w:eastAsia="en-GB"/>
    </w:rPr>
  </w:style>
  <w:style w:type="paragraph" w:styleId="ListParagraph">
    <w:name w:val="List Paragraph"/>
    <w:basedOn w:val="Normal"/>
    <w:uiPriority w:val="34"/>
    <w:qFormat/>
    <w:rsid w:val="0046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Seedburgh</dc:creator>
  <cp:lastModifiedBy>Meghan Zinkewich-Peotti</cp:lastModifiedBy>
  <cp:revision>3</cp:revision>
  <dcterms:created xsi:type="dcterms:W3CDTF">2021-01-11T08:51:00Z</dcterms:created>
  <dcterms:modified xsi:type="dcterms:W3CDTF">2021-01-13T09:36:00Z</dcterms:modified>
</cp:coreProperties>
</file>